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7043A" w14:textId="4AA8CB73" w:rsidR="00AC5B0D" w:rsidRDefault="00146725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Fire-Resistant Entrance Doorsets – Building Regulation requirements</w:t>
      </w:r>
    </w:p>
    <w:p w14:paraId="4891C610" w14:textId="1B682437" w:rsidR="00146725" w:rsidRDefault="00146725">
      <w:pPr>
        <w:rPr>
          <w:sz w:val="28"/>
          <w:szCs w:val="28"/>
        </w:rPr>
      </w:pPr>
    </w:p>
    <w:p w14:paraId="054201A4" w14:textId="0064F6DF" w:rsidR="00146725" w:rsidRDefault="00146725">
      <w:pPr>
        <w:rPr>
          <w:sz w:val="28"/>
          <w:szCs w:val="28"/>
        </w:rPr>
      </w:pPr>
      <w:r>
        <w:rPr>
          <w:sz w:val="28"/>
          <w:szCs w:val="28"/>
        </w:rPr>
        <w:t>Guidance on the Building regulation requirements for fire-resistant entrance doorsets is given in the following documents, published by the relevant National Governments:</w:t>
      </w:r>
    </w:p>
    <w:p w14:paraId="22BDCBFB" w14:textId="77777777" w:rsidR="00146725" w:rsidRDefault="00146725" w:rsidP="001467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6725">
        <w:rPr>
          <w:sz w:val="28"/>
          <w:szCs w:val="28"/>
        </w:rPr>
        <w:t xml:space="preserve">England </w:t>
      </w:r>
    </w:p>
    <w:p w14:paraId="3C5F8268" w14:textId="5F249674" w:rsidR="00146725" w:rsidRDefault="00146725" w:rsidP="0014672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46725">
        <w:rPr>
          <w:sz w:val="28"/>
          <w:szCs w:val="28"/>
        </w:rPr>
        <w:t>Approved Document B – Volume 1 – Dwellings:</w:t>
      </w:r>
      <w:r w:rsidR="00C762BE">
        <w:rPr>
          <w:sz w:val="28"/>
          <w:szCs w:val="28"/>
        </w:rPr>
        <w:t>2019</w:t>
      </w:r>
      <w:r w:rsidRPr="00146725">
        <w:rPr>
          <w:sz w:val="28"/>
          <w:szCs w:val="28"/>
        </w:rPr>
        <w:t xml:space="preserve"> and</w:t>
      </w:r>
    </w:p>
    <w:p w14:paraId="02150580" w14:textId="6CE42F8E" w:rsidR="00146725" w:rsidRDefault="00146725" w:rsidP="0014672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Approved Document B – Volume 2 – Buildings other than dwellings</w:t>
      </w:r>
      <w:r w:rsidR="00C762BE">
        <w:rPr>
          <w:sz w:val="28"/>
          <w:szCs w:val="28"/>
        </w:rPr>
        <w:t>:2019</w:t>
      </w:r>
    </w:p>
    <w:p w14:paraId="5187C23B" w14:textId="30166CD0" w:rsidR="00146725" w:rsidRDefault="00146725" w:rsidP="001467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Wales</w:t>
      </w:r>
    </w:p>
    <w:p w14:paraId="67592214" w14:textId="7D8ED1B9" w:rsidR="00146725" w:rsidRDefault="00146725" w:rsidP="0014672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Approved Document B – Volume 1 – Dwellinghouses – 2006 edition incorporating amendments to 201</w:t>
      </w:r>
      <w:r w:rsidR="00826CAF">
        <w:rPr>
          <w:sz w:val="28"/>
          <w:szCs w:val="28"/>
        </w:rPr>
        <w:t>6</w:t>
      </w:r>
    </w:p>
    <w:p w14:paraId="14D31DB3" w14:textId="0C486FBC" w:rsidR="00146725" w:rsidRDefault="00146725" w:rsidP="0014672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Approved Document B – Volume 2 – Buildings other than dwellinghouses </w:t>
      </w:r>
      <w:r w:rsidR="00826CA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26CAF">
        <w:rPr>
          <w:sz w:val="28"/>
          <w:szCs w:val="28"/>
        </w:rPr>
        <w:t>2006 edition incorporating amendments to 2016</w:t>
      </w:r>
    </w:p>
    <w:p w14:paraId="51F32DE7" w14:textId="640F5AF8" w:rsidR="00826CAF" w:rsidRDefault="00826CAF" w:rsidP="00826C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Scotland</w:t>
      </w:r>
    </w:p>
    <w:p w14:paraId="3C21C285" w14:textId="406A799E" w:rsidR="00826CAF" w:rsidRDefault="00826CAF" w:rsidP="00826CA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Technical Handbook 2019 domestic buildings</w:t>
      </w:r>
    </w:p>
    <w:p w14:paraId="4FC88B99" w14:textId="61343DD7" w:rsidR="00826CAF" w:rsidRDefault="00826CAF" w:rsidP="00826CA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Technical handbook 2019 non-domestic buildings</w:t>
      </w:r>
    </w:p>
    <w:p w14:paraId="2C354E81" w14:textId="147A3C1C" w:rsidR="00826CAF" w:rsidRDefault="00826CAF" w:rsidP="00826C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Northern Ireland</w:t>
      </w:r>
    </w:p>
    <w:p w14:paraId="3060C761" w14:textId="118B2FCF" w:rsidR="00826CAF" w:rsidRPr="00146725" w:rsidRDefault="00826CAF" w:rsidP="00826CA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Technical Booklet E 2012</w:t>
      </w:r>
    </w:p>
    <w:p w14:paraId="5D469FE4" w14:textId="23B5D62B" w:rsidR="00146725" w:rsidRDefault="00146725" w:rsidP="00826CAF">
      <w:pPr>
        <w:rPr>
          <w:sz w:val="28"/>
          <w:szCs w:val="28"/>
        </w:rPr>
      </w:pPr>
    </w:p>
    <w:p w14:paraId="11E5EB6B" w14:textId="39F98B96" w:rsidR="00826CAF" w:rsidRDefault="00C762BE" w:rsidP="00826CA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General requirements</w:t>
      </w:r>
    </w:p>
    <w:p w14:paraId="356CDBA6" w14:textId="7FFEA4E3" w:rsidR="00C762BE" w:rsidRDefault="00C762BE" w:rsidP="00826CAF">
      <w:pPr>
        <w:rPr>
          <w:sz w:val="28"/>
          <w:szCs w:val="28"/>
        </w:rPr>
      </w:pPr>
      <w:r>
        <w:rPr>
          <w:sz w:val="28"/>
          <w:szCs w:val="28"/>
          <w:u w:val="single"/>
        </w:rPr>
        <w:t>England:</w:t>
      </w:r>
    </w:p>
    <w:p w14:paraId="6708A810" w14:textId="363BB91C" w:rsidR="00C762BE" w:rsidRDefault="00C762BE" w:rsidP="00826CAF">
      <w:pPr>
        <w:rPr>
          <w:sz w:val="28"/>
          <w:szCs w:val="28"/>
        </w:rPr>
      </w:pPr>
      <w:r>
        <w:rPr>
          <w:sz w:val="28"/>
          <w:szCs w:val="28"/>
        </w:rPr>
        <w:t>In accordance with the guidance provided in Approved Document B – Volume 1 – Dwellings:2019, Flat entrance doors should provide an</w:t>
      </w:r>
      <w:r w:rsidRPr="00DF6F28">
        <w:rPr>
          <w:b/>
          <w:bCs/>
          <w:sz w:val="28"/>
          <w:szCs w:val="28"/>
        </w:rPr>
        <w:t xml:space="preserve"> integrity</w:t>
      </w:r>
      <w:r>
        <w:rPr>
          <w:sz w:val="28"/>
          <w:szCs w:val="28"/>
        </w:rPr>
        <w:t xml:space="preserve"> of 30 minutes as detailed in A</w:t>
      </w:r>
      <w:r w:rsidR="00DF6F28">
        <w:rPr>
          <w:sz w:val="28"/>
          <w:szCs w:val="28"/>
        </w:rPr>
        <w:t>ppendix</w:t>
      </w:r>
      <w:r>
        <w:rPr>
          <w:sz w:val="28"/>
          <w:szCs w:val="28"/>
        </w:rPr>
        <w:t xml:space="preserve"> C, line 2.a.</w:t>
      </w:r>
    </w:p>
    <w:p w14:paraId="5F207029" w14:textId="27EEE277" w:rsidR="00C762BE" w:rsidRDefault="00C762BE" w:rsidP="00826CAF">
      <w:pPr>
        <w:rPr>
          <w:sz w:val="28"/>
          <w:szCs w:val="28"/>
        </w:rPr>
      </w:pPr>
      <w:r>
        <w:rPr>
          <w:sz w:val="28"/>
          <w:szCs w:val="28"/>
        </w:rPr>
        <w:t>Integrity may be demonstrated by testing to either EN 1634-1 and classification to EN 13501-2 or testing and classification to BS 476-22.</w:t>
      </w:r>
    </w:p>
    <w:p w14:paraId="794090D1" w14:textId="77777777" w:rsidR="00C762BE" w:rsidRDefault="00C762BE" w:rsidP="00826CAF">
      <w:pPr>
        <w:rPr>
          <w:sz w:val="28"/>
          <w:szCs w:val="28"/>
        </w:rPr>
      </w:pPr>
      <w:r>
        <w:rPr>
          <w:sz w:val="28"/>
          <w:szCs w:val="28"/>
        </w:rPr>
        <w:t>Fire-resistant doors should also provide smoke control when tested and classified to either EN 1634-3 and EN 13501-2 or testing and classification to BS476-31.1.</w:t>
      </w:r>
    </w:p>
    <w:p w14:paraId="0E02EFAB" w14:textId="77777777" w:rsidR="00DF6F28" w:rsidRDefault="00DF6F2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272BEE2" w14:textId="3AE5405D" w:rsidR="00C762BE" w:rsidRDefault="00C762BE" w:rsidP="00826CAF">
      <w:pPr>
        <w:rPr>
          <w:sz w:val="28"/>
          <w:szCs w:val="28"/>
        </w:rPr>
      </w:pPr>
      <w:r>
        <w:rPr>
          <w:sz w:val="28"/>
          <w:szCs w:val="28"/>
        </w:rPr>
        <w:lastRenderedPageBreak/>
        <w:t>Classifications of Fire-resistant doors</w:t>
      </w:r>
      <w:r w:rsidR="000943B6">
        <w:rPr>
          <w:sz w:val="28"/>
          <w:szCs w:val="28"/>
        </w:rPr>
        <w:t xml:space="preserve"> – Table C1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F6F28" w14:paraId="13B6661B" w14:textId="77777777" w:rsidTr="00DF6F28">
        <w:tc>
          <w:tcPr>
            <w:tcW w:w="3005" w:type="dxa"/>
            <w:vMerge w:val="restart"/>
            <w:vAlign w:val="center"/>
          </w:tcPr>
          <w:p w14:paraId="1A727801" w14:textId="31F65A2C" w:rsidR="00DF6F28" w:rsidRDefault="00DF6F28" w:rsidP="00DF6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Position of door</w:t>
            </w:r>
          </w:p>
        </w:tc>
        <w:tc>
          <w:tcPr>
            <w:tcW w:w="3005" w:type="dxa"/>
            <w:vAlign w:val="center"/>
          </w:tcPr>
          <w:p w14:paraId="34728CF7" w14:textId="40D5F42C" w:rsidR="00DF6F28" w:rsidRDefault="00DF6F28" w:rsidP="00DF6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European Standard test and classification</w:t>
            </w:r>
          </w:p>
        </w:tc>
        <w:tc>
          <w:tcPr>
            <w:tcW w:w="3006" w:type="dxa"/>
            <w:vAlign w:val="center"/>
          </w:tcPr>
          <w:p w14:paraId="2996A7F7" w14:textId="4CB3C143" w:rsidR="00DF6F28" w:rsidRDefault="00DF6F28" w:rsidP="00DF6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British Standard Test and classification</w:t>
            </w:r>
          </w:p>
        </w:tc>
      </w:tr>
      <w:tr w:rsidR="00DF6F28" w14:paraId="4B898E28" w14:textId="77777777" w:rsidTr="00DF6F28">
        <w:tc>
          <w:tcPr>
            <w:tcW w:w="3005" w:type="dxa"/>
            <w:vMerge/>
            <w:vAlign w:val="center"/>
          </w:tcPr>
          <w:p w14:paraId="5777D633" w14:textId="77777777" w:rsidR="00DF6F28" w:rsidRDefault="00DF6F28" w:rsidP="00DF6F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14:paraId="579473FC" w14:textId="77777777" w:rsidR="00DF6F28" w:rsidRDefault="00DF6F28" w:rsidP="00DF6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1634-1</w:t>
            </w:r>
          </w:p>
          <w:p w14:paraId="394DE2F8" w14:textId="77777777" w:rsidR="00DF6F28" w:rsidRDefault="00DF6F28" w:rsidP="00DF6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1634-3</w:t>
            </w:r>
          </w:p>
          <w:p w14:paraId="2B614BCE" w14:textId="03B45E43" w:rsidR="00DF6F28" w:rsidRDefault="00DF6F28" w:rsidP="00DF6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13501-2</w:t>
            </w:r>
          </w:p>
        </w:tc>
        <w:tc>
          <w:tcPr>
            <w:tcW w:w="3006" w:type="dxa"/>
            <w:vAlign w:val="center"/>
          </w:tcPr>
          <w:p w14:paraId="1664BB55" w14:textId="77777777" w:rsidR="00DF6F28" w:rsidRDefault="00DF6F28" w:rsidP="00DF6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BS 476-22</w:t>
            </w:r>
          </w:p>
          <w:p w14:paraId="4EA5D92E" w14:textId="681C206F" w:rsidR="00DF6F28" w:rsidRDefault="00DF6F28" w:rsidP="00DF6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BS476-31.1</w:t>
            </w:r>
          </w:p>
        </w:tc>
      </w:tr>
      <w:tr w:rsidR="00DF6F28" w14:paraId="7A3CAA50" w14:textId="77777777" w:rsidTr="00DF6F28">
        <w:tc>
          <w:tcPr>
            <w:tcW w:w="3005" w:type="dxa"/>
            <w:vAlign w:val="center"/>
          </w:tcPr>
          <w:p w14:paraId="4DE6031F" w14:textId="77777777" w:rsidR="00DF6F28" w:rsidRDefault="00DF6F28" w:rsidP="00DF6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In a compartment wall:</w:t>
            </w:r>
          </w:p>
          <w:p w14:paraId="167C3D38" w14:textId="6F9FFB4E" w:rsidR="00DF6F28" w:rsidRDefault="00DF6F28" w:rsidP="00DF6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if it separates a flat from a space in common use</w:t>
            </w:r>
          </w:p>
        </w:tc>
        <w:tc>
          <w:tcPr>
            <w:tcW w:w="3005" w:type="dxa"/>
            <w:vAlign w:val="center"/>
          </w:tcPr>
          <w:p w14:paraId="224FCC74" w14:textId="77777777" w:rsidR="00DF6F28" w:rsidRDefault="00DF6F28" w:rsidP="00DF6F28">
            <w:pPr>
              <w:jc w:val="center"/>
              <w:rPr>
                <w:sz w:val="28"/>
                <w:szCs w:val="28"/>
              </w:rPr>
            </w:pPr>
          </w:p>
          <w:p w14:paraId="7B22A42E" w14:textId="77777777" w:rsidR="00DF6F28" w:rsidRDefault="00DF6F28" w:rsidP="00DF6F28">
            <w:pPr>
              <w:jc w:val="center"/>
              <w:rPr>
                <w:sz w:val="28"/>
                <w:szCs w:val="28"/>
              </w:rPr>
            </w:pPr>
          </w:p>
          <w:p w14:paraId="37453C53" w14:textId="6A63362F" w:rsidR="00DF6F28" w:rsidRPr="00DF6F28" w:rsidRDefault="00DF6F28" w:rsidP="00DF6F28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E 30 S</w:t>
            </w:r>
            <w:r>
              <w:rPr>
                <w:sz w:val="28"/>
                <w:szCs w:val="28"/>
                <w:vertAlign w:val="subscript"/>
              </w:rPr>
              <w:t>a</w:t>
            </w:r>
          </w:p>
        </w:tc>
        <w:tc>
          <w:tcPr>
            <w:tcW w:w="3006" w:type="dxa"/>
            <w:vAlign w:val="center"/>
          </w:tcPr>
          <w:p w14:paraId="7F49C033" w14:textId="77777777" w:rsidR="00DF6F28" w:rsidRDefault="00DF6F28" w:rsidP="00DF6F28">
            <w:pPr>
              <w:jc w:val="center"/>
              <w:rPr>
                <w:sz w:val="28"/>
                <w:szCs w:val="28"/>
              </w:rPr>
            </w:pPr>
          </w:p>
          <w:p w14:paraId="27F2914D" w14:textId="77777777" w:rsidR="00DF6F28" w:rsidRDefault="00DF6F28" w:rsidP="00DF6F28">
            <w:pPr>
              <w:jc w:val="center"/>
              <w:rPr>
                <w:sz w:val="28"/>
                <w:szCs w:val="28"/>
              </w:rPr>
            </w:pPr>
          </w:p>
          <w:p w14:paraId="762811B8" w14:textId="4B5F7404" w:rsidR="00DF6F28" w:rsidRDefault="00DF6F28" w:rsidP="00DF6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FD 30 S</w:t>
            </w:r>
          </w:p>
        </w:tc>
      </w:tr>
    </w:tbl>
    <w:p w14:paraId="228F3316" w14:textId="1FBCF444" w:rsidR="00DF6F28" w:rsidRDefault="00DF6F28" w:rsidP="00826CAF">
      <w:pPr>
        <w:rPr>
          <w:sz w:val="28"/>
          <w:szCs w:val="28"/>
        </w:rPr>
      </w:pPr>
    </w:p>
    <w:p w14:paraId="2EF39E82" w14:textId="101737AA" w:rsidR="00DF6F28" w:rsidRDefault="00DF6F28" w:rsidP="00826CAF">
      <w:pPr>
        <w:rPr>
          <w:sz w:val="28"/>
          <w:szCs w:val="28"/>
        </w:rPr>
      </w:pPr>
      <w:r>
        <w:rPr>
          <w:sz w:val="28"/>
          <w:szCs w:val="28"/>
        </w:rPr>
        <w:t>Appendix C also states:</w:t>
      </w:r>
    </w:p>
    <w:p w14:paraId="65BF1FD7" w14:textId="779CBA0A" w:rsidR="00DF6F28" w:rsidRDefault="00DF6F28" w:rsidP="00826CAF">
      <w:pPr>
        <w:rPr>
          <w:sz w:val="28"/>
          <w:szCs w:val="28"/>
        </w:rPr>
      </w:pPr>
      <w:r>
        <w:rPr>
          <w:sz w:val="28"/>
          <w:szCs w:val="28"/>
        </w:rPr>
        <w:t>Clause C3 – The requirement is for test exposure from each side of the doorset separately. The exception is lift doors, which are tested from the landing side only.</w:t>
      </w:r>
    </w:p>
    <w:p w14:paraId="5299F7C2" w14:textId="31E060DF" w:rsidR="00DF6F28" w:rsidRDefault="000943B6" w:rsidP="00826CAF">
      <w:pPr>
        <w:rPr>
          <w:sz w:val="28"/>
          <w:szCs w:val="28"/>
        </w:rPr>
      </w:pPr>
      <w:r>
        <w:rPr>
          <w:sz w:val="28"/>
          <w:szCs w:val="28"/>
        </w:rPr>
        <w:t>Clause C4 – Any test evidence used to verify the fire resistance rating of a doorset or shutter should be checked to ensure both of the following:</w:t>
      </w:r>
    </w:p>
    <w:p w14:paraId="07F1120C" w14:textId="7090E3FF" w:rsidR="000943B6" w:rsidRDefault="000943B6" w:rsidP="000943B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It adequately demonstrates compliance.</w:t>
      </w:r>
    </w:p>
    <w:p w14:paraId="01879438" w14:textId="1C4928AA" w:rsidR="000943B6" w:rsidRDefault="000943B6" w:rsidP="000943B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It is applicable to the complete installed assembly. Small differences in detail may significantly affect the rating.</w:t>
      </w:r>
    </w:p>
    <w:p w14:paraId="3DA9B981" w14:textId="0021D907" w:rsidR="000943B6" w:rsidRDefault="000943B6" w:rsidP="000943B6">
      <w:pPr>
        <w:rPr>
          <w:sz w:val="28"/>
          <w:szCs w:val="28"/>
        </w:rPr>
      </w:pPr>
      <w:r>
        <w:rPr>
          <w:sz w:val="28"/>
          <w:szCs w:val="28"/>
        </w:rPr>
        <w:t>Clause C5 – All fire doorsets, including flat entrances and between a dwellinghouse and an integral garage, should be fitted with a self-closing device, except for the following:</w:t>
      </w:r>
    </w:p>
    <w:p w14:paraId="2D8FA07C" w14:textId="4ECA5966" w:rsidR="000943B6" w:rsidRDefault="000943B6" w:rsidP="000943B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Fire doorsets to cupboards</w:t>
      </w:r>
    </w:p>
    <w:p w14:paraId="43D480A9" w14:textId="11D142E2" w:rsidR="000943B6" w:rsidRDefault="000943B6" w:rsidP="000943B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Fire doorsets to service ducts normally locked shut</w:t>
      </w:r>
    </w:p>
    <w:p w14:paraId="23FF98FE" w14:textId="705569AF" w:rsidR="000943B6" w:rsidRDefault="000943B6" w:rsidP="000943B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Fire doorsets within flats and dwellinghouses</w:t>
      </w:r>
    </w:p>
    <w:p w14:paraId="17C44288" w14:textId="7BC8C6D0" w:rsidR="000943B6" w:rsidRDefault="000943B6" w:rsidP="000943B6">
      <w:pPr>
        <w:rPr>
          <w:sz w:val="28"/>
          <w:szCs w:val="28"/>
        </w:rPr>
      </w:pPr>
      <w:r>
        <w:rPr>
          <w:sz w:val="28"/>
          <w:szCs w:val="28"/>
        </w:rPr>
        <w:t>Clause C13 – The performance of some doorsets set out in Table C1 is linked to the minimum periods of fire resistance for elements of structure given in table</w:t>
      </w:r>
      <w:r w:rsidR="00BA1DB5">
        <w:rPr>
          <w:sz w:val="28"/>
          <w:szCs w:val="28"/>
        </w:rPr>
        <w:t>s</w:t>
      </w:r>
      <w:r>
        <w:rPr>
          <w:sz w:val="28"/>
          <w:szCs w:val="28"/>
        </w:rPr>
        <w:t xml:space="preserve"> B3 and B4. Limitation on the use of uninsulated glazing in </w:t>
      </w:r>
      <w:r w:rsidR="00BA1DB5">
        <w:rPr>
          <w:sz w:val="28"/>
          <w:szCs w:val="28"/>
        </w:rPr>
        <w:t>fire doorsets are given in Table B5.</w:t>
      </w:r>
    </w:p>
    <w:p w14:paraId="0F057FA3" w14:textId="77777777" w:rsidR="00BA1DB5" w:rsidRDefault="00BA1DB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0801DBC" w14:textId="38F6B3D1" w:rsidR="00BA1DB5" w:rsidRDefault="00BA1DB5" w:rsidP="000943B6">
      <w:pPr>
        <w:rPr>
          <w:sz w:val="28"/>
          <w:szCs w:val="28"/>
        </w:rPr>
      </w:pPr>
      <w:r>
        <w:rPr>
          <w:sz w:val="28"/>
          <w:szCs w:val="28"/>
        </w:rPr>
        <w:lastRenderedPageBreak/>
        <w:t>Extracts from Table B5.</w:t>
      </w:r>
    </w:p>
    <w:p w14:paraId="6B5D1B4F" w14:textId="07B78FDE" w:rsidR="00BA1DB5" w:rsidRPr="00BA1DB5" w:rsidRDefault="00BA1DB5" w:rsidP="000943B6">
      <w:pPr>
        <w:rPr>
          <w:b/>
          <w:bCs/>
          <w:sz w:val="28"/>
          <w:szCs w:val="28"/>
        </w:rPr>
      </w:pPr>
      <w:r w:rsidRPr="00BA1DB5">
        <w:rPr>
          <w:b/>
          <w:bCs/>
          <w:sz w:val="28"/>
          <w:szCs w:val="28"/>
        </w:rPr>
        <w:t xml:space="preserve">Table B5 Limitations on the use of uninsulated glazed elements on escape routes. These limitations </w:t>
      </w:r>
      <w:r w:rsidRPr="00BA1DB5">
        <w:rPr>
          <w:b/>
          <w:bCs/>
          <w:i/>
          <w:iCs/>
          <w:sz w:val="28"/>
          <w:szCs w:val="28"/>
        </w:rPr>
        <w:t>do not</w:t>
      </w:r>
      <w:r w:rsidRPr="00BA1DB5">
        <w:rPr>
          <w:b/>
          <w:bCs/>
          <w:sz w:val="28"/>
          <w:szCs w:val="28"/>
        </w:rPr>
        <w:t xml:space="preserve"> apply to glazed elements that satisfy the relevant insulation criterion, see Table B3.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8"/>
        <w:gridCol w:w="1637"/>
        <w:gridCol w:w="1637"/>
        <w:gridCol w:w="1637"/>
        <w:gridCol w:w="1637"/>
      </w:tblGrid>
      <w:tr w:rsidR="007A216F" w14:paraId="6B4E293D" w14:textId="77777777" w:rsidTr="007A216F">
        <w:tc>
          <w:tcPr>
            <w:tcW w:w="2468" w:type="dxa"/>
            <w:vMerge w:val="restart"/>
            <w:vAlign w:val="center"/>
          </w:tcPr>
          <w:p w14:paraId="5B6ED153" w14:textId="6B2D2A80" w:rsidR="007A216F" w:rsidRDefault="007A216F" w:rsidP="00094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Position of glazing</w:t>
            </w:r>
          </w:p>
        </w:tc>
        <w:tc>
          <w:tcPr>
            <w:tcW w:w="6548" w:type="dxa"/>
            <w:gridSpan w:val="4"/>
          </w:tcPr>
          <w:p w14:paraId="4C3A1540" w14:textId="1F486FD3" w:rsidR="007A216F" w:rsidRDefault="007A216F" w:rsidP="00094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Maximum total glazed area in parts of a building with access to:</w:t>
            </w:r>
          </w:p>
        </w:tc>
      </w:tr>
      <w:tr w:rsidR="007A216F" w14:paraId="65C54396" w14:textId="77777777" w:rsidTr="007A216F">
        <w:tc>
          <w:tcPr>
            <w:tcW w:w="2468" w:type="dxa"/>
            <w:vMerge/>
          </w:tcPr>
          <w:p w14:paraId="30910611" w14:textId="77777777" w:rsidR="007A216F" w:rsidRDefault="007A216F" w:rsidP="000943B6">
            <w:pPr>
              <w:rPr>
                <w:sz w:val="28"/>
                <w:szCs w:val="28"/>
              </w:rPr>
            </w:pPr>
          </w:p>
        </w:tc>
        <w:tc>
          <w:tcPr>
            <w:tcW w:w="3274" w:type="dxa"/>
            <w:gridSpan w:val="2"/>
          </w:tcPr>
          <w:p w14:paraId="64EA3C93" w14:textId="12D00D85" w:rsidR="007A216F" w:rsidRDefault="007A216F" w:rsidP="00094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single stair</w:t>
            </w:r>
          </w:p>
        </w:tc>
        <w:tc>
          <w:tcPr>
            <w:tcW w:w="3274" w:type="dxa"/>
            <w:gridSpan w:val="2"/>
          </w:tcPr>
          <w:p w14:paraId="1348AA98" w14:textId="19EB5359" w:rsidR="007A216F" w:rsidRDefault="007A216F" w:rsidP="00094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More than one stair</w:t>
            </w:r>
          </w:p>
        </w:tc>
      </w:tr>
      <w:tr w:rsidR="007A216F" w14:paraId="795883B5" w14:textId="77777777" w:rsidTr="007A216F">
        <w:tc>
          <w:tcPr>
            <w:tcW w:w="2468" w:type="dxa"/>
            <w:vMerge/>
          </w:tcPr>
          <w:p w14:paraId="5BBEBE70" w14:textId="77777777" w:rsidR="007A216F" w:rsidRDefault="007A216F" w:rsidP="000943B6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14:paraId="3F9CAC93" w14:textId="4229CA62" w:rsidR="007A216F" w:rsidRDefault="007A216F" w:rsidP="00094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Walls</w:t>
            </w:r>
          </w:p>
        </w:tc>
        <w:tc>
          <w:tcPr>
            <w:tcW w:w="1637" w:type="dxa"/>
          </w:tcPr>
          <w:p w14:paraId="78954DBA" w14:textId="3A87866F" w:rsidR="007A216F" w:rsidRDefault="007A216F" w:rsidP="00094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Door leaf</w:t>
            </w:r>
          </w:p>
        </w:tc>
        <w:tc>
          <w:tcPr>
            <w:tcW w:w="1637" w:type="dxa"/>
          </w:tcPr>
          <w:p w14:paraId="12D3DFF8" w14:textId="21C7812F" w:rsidR="007A216F" w:rsidRDefault="007A216F" w:rsidP="00094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Walls </w:t>
            </w:r>
          </w:p>
        </w:tc>
        <w:tc>
          <w:tcPr>
            <w:tcW w:w="1637" w:type="dxa"/>
          </w:tcPr>
          <w:p w14:paraId="6543E942" w14:textId="243EC917" w:rsidR="007A216F" w:rsidRDefault="007A216F" w:rsidP="00094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Door leaf</w:t>
            </w:r>
          </w:p>
        </w:tc>
      </w:tr>
      <w:tr w:rsidR="00BA1DB5" w14:paraId="4F89D9D5" w14:textId="77777777" w:rsidTr="009E3CEC">
        <w:tc>
          <w:tcPr>
            <w:tcW w:w="9016" w:type="dxa"/>
            <w:gridSpan w:val="5"/>
          </w:tcPr>
          <w:p w14:paraId="0277F8A1" w14:textId="55116FD5" w:rsidR="00BA1DB5" w:rsidRDefault="002B5A84" w:rsidP="00094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(except dwellinghouses)</w:t>
            </w:r>
          </w:p>
        </w:tc>
      </w:tr>
      <w:tr w:rsidR="00BA1DB5" w14:paraId="50F60E31" w14:textId="77777777" w:rsidTr="007A216F">
        <w:tc>
          <w:tcPr>
            <w:tcW w:w="2468" w:type="dxa"/>
            <w:vAlign w:val="center"/>
          </w:tcPr>
          <w:p w14:paraId="667B16E5" w14:textId="1D6510D1" w:rsidR="00BA1DB5" w:rsidRDefault="002B5A84" w:rsidP="00094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Between residential/sleeping accommodation and a common escape route (corridor, lobby or stair)</w:t>
            </w:r>
          </w:p>
        </w:tc>
        <w:tc>
          <w:tcPr>
            <w:tcW w:w="1637" w:type="dxa"/>
            <w:vAlign w:val="center"/>
          </w:tcPr>
          <w:p w14:paraId="1B2A3672" w14:textId="07286938" w:rsidR="00BA1DB5" w:rsidRDefault="002B5A84" w:rsidP="00094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1637" w:type="dxa"/>
            <w:vAlign w:val="center"/>
          </w:tcPr>
          <w:p w14:paraId="3D77726E" w14:textId="071D8C11" w:rsidR="00BA1DB5" w:rsidRDefault="002B5A84" w:rsidP="00094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1637" w:type="dxa"/>
            <w:vAlign w:val="center"/>
          </w:tcPr>
          <w:p w14:paraId="2A6DB696" w14:textId="216AB590" w:rsidR="00BA1DB5" w:rsidRDefault="002B5A84" w:rsidP="00094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  <w:tc>
          <w:tcPr>
            <w:tcW w:w="1637" w:type="dxa"/>
            <w:vAlign w:val="center"/>
          </w:tcPr>
          <w:p w14:paraId="7965C9A7" w14:textId="40CB476A" w:rsidR="00BA1DB5" w:rsidRDefault="002B5A84" w:rsidP="00094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BA1DB5" w14:paraId="23D93906" w14:textId="77777777" w:rsidTr="007A216F">
        <w:tc>
          <w:tcPr>
            <w:tcW w:w="2468" w:type="dxa"/>
            <w:vAlign w:val="center"/>
          </w:tcPr>
          <w:p w14:paraId="5AEA0044" w14:textId="690AA004" w:rsidR="00BA1DB5" w:rsidRDefault="002B5A84" w:rsidP="00094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Beside an external escape route</w:t>
            </w:r>
          </w:p>
        </w:tc>
        <w:tc>
          <w:tcPr>
            <w:tcW w:w="1637" w:type="dxa"/>
            <w:vAlign w:val="center"/>
          </w:tcPr>
          <w:p w14:paraId="5E1916AE" w14:textId="1030FACE" w:rsidR="00BA1DB5" w:rsidRDefault="002B5A84" w:rsidP="00094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Unlimited above 1100mm from floor</w:t>
            </w:r>
          </w:p>
        </w:tc>
        <w:tc>
          <w:tcPr>
            <w:tcW w:w="1637" w:type="dxa"/>
            <w:vAlign w:val="center"/>
          </w:tcPr>
          <w:p w14:paraId="0387F339" w14:textId="1BB51391" w:rsidR="00BA1DB5" w:rsidRDefault="002B5A84" w:rsidP="00094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Unlimited above 1100mm from floor</w:t>
            </w:r>
          </w:p>
        </w:tc>
        <w:tc>
          <w:tcPr>
            <w:tcW w:w="1637" w:type="dxa"/>
            <w:vAlign w:val="center"/>
          </w:tcPr>
          <w:p w14:paraId="118A754D" w14:textId="0CBC5E12" w:rsidR="00BA1DB5" w:rsidRDefault="002B5A84" w:rsidP="00094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Unlimited above 1100mm from floor</w:t>
            </w:r>
          </w:p>
        </w:tc>
        <w:tc>
          <w:tcPr>
            <w:tcW w:w="1637" w:type="dxa"/>
            <w:vAlign w:val="center"/>
          </w:tcPr>
          <w:p w14:paraId="1EB51451" w14:textId="43FFA57E" w:rsidR="00BA1DB5" w:rsidRDefault="002B5A84" w:rsidP="00094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Unlimited above 1100mm from floor</w:t>
            </w:r>
          </w:p>
        </w:tc>
      </w:tr>
    </w:tbl>
    <w:p w14:paraId="17D633B0" w14:textId="417CA186" w:rsidR="00BA1DB5" w:rsidRDefault="00BA1DB5" w:rsidP="000943B6">
      <w:pPr>
        <w:rPr>
          <w:sz w:val="28"/>
          <w:szCs w:val="28"/>
        </w:rPr>
      </w:pPr>
    </w:p>
    <w:p w14:paraId="695A9A87" w14:textId="2A8C5B58" w:rsidR="002B5A84" w:rsidRPr="002B5A84" w:rsidRDefault="002B5A84" w:rsidP="002B5A84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Based on the above, all glazed flat entrance fire resistant doorsets and adjacent glazing (side or over) must be classified as insulated glazing, refer to ACDM Technical Guidance </w:t>
      </w:r>
      <w:r w:rsidRPr="002B5A84">
        <w:rPr>
          <w:i/>
          <w:iCs/>
          <w:sz w:val="28"/>
          <w:szCs w:val="28"/>
        </w:rPr>
        <w:t>- TG 001: Interpretation of Glazing requirements for Fire- Resistant Flat Entrance Doors</w:t>
      </w:r>
      <w:r>
        <w:rPr>
          <w:i/>
          <w:iCs/>
          <w:sz w:val="28"/>
          <w:szCs w:val="28"/>
        </w:rPr>
        <w:t>.</w:t>
      </w:r>
    </w:p>
    <w:p w14:paraId="654D67D8" w14:textId="48BA67D0" w:rsidR="002B5A84" w:rsidRDefault="002B5A84" w:rsidP="000943B6">
      <w:pPr>
        <w:rPr>
          <w:sz w:val="28"/>
          <w:szCs w:val="28"/>
        </w:rPr>
      </w:pPr>
    </w:p>
    <w:p w14:paraId="322D6E14" w14:textId="0F966D98" w:rsidR="00114448" w:rsidRDefault="00114448" w:rsidP="000943B6">
      <w:pPr>
        <w:rPr>
          <w:sz w:val="28"/>
          <w:szCs w:val="28"/>
        </w:rPr>
      </w:pPr>
      <w:r>
        <w:rPr>
          <w:sz w:val="28"/>
          <w:szCs w:val="28"/>
          <w:u w:val="single"/>
        </w:rPr>
        <w:t>Wales</w:t>
      </w:r>
    </w:p>
    <w:p w14:paraId="53AD5653" w14:textId="6EF9061D" w:rsidR="00114448" w:rsidRDefault="00114448" w:rsidP="000943B6">
      <w:pPr>
        <w:rPr>
          <w:sz w:val="28"/>
          <w:szCs w:val="28"/>
        </w:rPr>
      </w:pPr>
      <w:r>
        <w:rPr>
          <w:sz w:val="28"/>
          <w:szCs w:val="28"/>
        </w:rPr>
        <w:t>The requirement in Wales are identical to England except the requirements for flat entrance doors are contained in Approved Document B, Volume 2 – Building other than dwellinghouses: 20</w:t>
      </w:r>
      <w:r w:rsidR="007A216F">
        <w:rPr>
          <w:sz w:val="28"/>
          <w:szCs w:val="28"/>
        </w:rPr>
        <w:t>20</w:t>
      </w:r>
      <w:r>
        <w:rPr>
          <w:sz w:val="28"/>
          <w:szCs w:val="28"/>
        </w:rPr>
        <w:t xml:space="preserve"> incorporating amendment up to 20</w:t>
      </w:r>
      <w:r w:rsidR="007A216F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14:paraId="32F813DB" w14:textId="0E4BE5C9" w:rsidR="00114448" w:rsidRDefault="00114448" w:rsidP="000943B6">
      <w:pPr>
        <w:rPr>
          <w:sz w:val="28"/>
          <w:szCs w:val="28"/>
        </w:rPr>
      </w:pPr>
      <w:r>
        <w:rPr>
          <w:sz w:val="28"/>
          <w:szCs w:val="28"/>
        </w:rPr>
        <w:t>The references are contained in different appendices and tables, where the England AD references Appendix B or Table B, refer to Appendix A and where it references Appendix C or Table C refer to Appendix B.</w:t>
      </w:r>
    </w:p>
    <w:p w14:paraId="10BB0453" w14:textId="71A18F62" w:rsidR="00114448" w:rsidRDefault="00114448" w:rsidP="000943B6">
      <w:pPr>
        <w:rPr>
          <w:sz w:val="28"/>
          <w:szCs w:val="28"/>
        </w:rPr>
      </w:pPr>
    </w:p>
    <w:p w14:paraId="5E069B62" w14:textId="19E85A38" w:rsidR="00114448" w:rsidRDefault="00114448" w:rsidP="000943B6">
      <w:pPr>
        <w:rPr>
          <w:sz w:val="28"/>
          <w:szCs w:val="28"/>
        </w:rPr>
      </w:pPr>
      <w:r w:rsidRPr="00114448">
        <w:rPr>
          <w:sz w:val="28"/>
          <w:szCs w:val="28"/>
          <w:u w:val="single"/>
        </w:rPr>
        <w:lastRenderedPageBreak/>
        <w:t>Northern Ireland</w:t>
      </w:r>
    </w:p>
    <w:p w14:paraId="01D9CE2B" w14:textId="16525C37" w:rsidR="00114448" w:rsidRDefault="00D73C44" w:rsidP="000943B6">
      <w:pPr>
        <w:rPr>
          <w:sz w:val="28"/>
          <w:szCs w:val="28"/>
        </w:rPr>
      </w:pPr>
      <w:r>
        <w:rPr>
          <w:sz w:val="28"/>
          <w:szCs w:val="28"/>
        </w:rPr>
        <w:t>In accordance with Technical Booklet E – Fire safety:2012, the requirements for fire-resistant flat entrance doors are</w:t>
      </w:r>
      <w:r w:rsidR="00114448">
        <w:rPr>
          <w:sz w:val="28"/>
          <w:szCs w:val="28"/>
        </w:rPr>
        <w:t xml:space="preserve"> </w:t>
      </w:r>
      <w:r>
        <w:rPr>
          <w:sz w:val="28"/>
          <w:szCs w:val="28"/>
        </w:rPr>
        <w:t>as follows:</w:t>
      </w:r>
    </w:p>
    <w:p w14:paraId="70A87402" w14:textId="750C6D3F" w:rsidR="00D73C44" w:rsidRDefault="00D73C44" w:rsidP="000943B6">
      <w:pPr>
        <w:rPr>
          <w:sz w:val="28"/>
          <w:szCs w:val="28"/>
        </w:rPr>
      </w:pPr>
      <w:r>
        <w:rPr>
          <w:sz w:val="28"/>
          <w:szCs w:val="28"/>
        </w:rPr>
        <w:t xml:space="preserve">The guidance requirements are again identical to England although the details are contained in the section </w:t>
      </w:r>
      <w:r w:rsidRPr="00D73C44">
        <w:rPr>
          <w:b/>
          <w:bCs/>
          <w:sz w:val="28"/>
          <w:szCs w:val="28"/>
        </w:rPr>
        <w:t>‘Fire doors’</w:t>
      </w:r>
      <w:r>
        <w:rPr>
          <w:b/>
          <w:bCs/>
          <w:sz w:val="28"/>
          <w:szCs w:val="28"/>
        </w:rPr>
        <w:t xml:space="preserve"> </w:t>
      </w:r>
      <w:r w:rsidRPr="00D73C44">
        <w:rPr>
          <w:sz w:val="28"/>
          <w:szCs w:val="28"/>
        </w:rPr>
        <w:t>shown in Clauses 4.29</w:t>
      </w:r>
      <w:r>
        <w:rPr>
          <w:sz w:val="28"/>
          <w:szCs w:val="28"/>
        </w:rPr>
        <w:t xml:space="preserve"> through 4.35. </w:t>
      </w:r>
    </w:p>
    <w:p w14:paraId="78C8013F" w14:textId="3D40B97C" w:rsidR="00D73C44" w:rsidRDefault="00D73C44" w:rsidP="000943B6">
      <w:pPr>
        <w:rPr>
          <w:sz w:val="28"/>
          <w:szCs w:val="28"/>
        </w:rPr>
      </w:pPr>
      <w:r>
        <w:rPr>
          <w:sz w:val="28"/>
          <w:szCs w:val="28"/>
        </w:rPr>
        <w:t>Limitations of the use of non-insulating glazing are given in Table 2.8, lines 5 and 10.</w:t>
      </w:r>
    </w:p>
    <w:p w14:paraId="7718B1F8" w14:textId="097074D4" w:rsidR="00D73C44" w:rsidRDefault="00D73C44" w:rsidP="000943B6">
      <w:pPr>
        <w:rPr>
          <w:sz w:val="28"/>
          <w:szCs w:val="28"/>
        </w:rPr>
      </w:pPr>
    </w:p>
    <w:p w14:paraId="3A3E94B3" w14:textId="798D4876" w:rsidR="00D73C44" w:rsidRDefault="00D73C44" w:rsidP="000943B6">
      <w:pPr>
        <w:rPr>
          <w:sz w:val="28"/>
          <w:szCs w:val="28"/>
        </w:rPr>
      </w:pPr>
      <w:r>
        <w:rPr>
          <w:sz w:val="28"/>
          <w:szCs w:val="28"/>
          <w:u w:val="single"/>
        </w:rPr>
        <w:t>Scotland</w:t>
      </w:r>
    </w:p>
    <w:p w14:paraId="3C21DE57" w14:textId="3946F14B" w:rsidR="00D73C44" w:rsidRPr="00D73C44" w:rsidRDefault="00D73C44" w:rsidP="000943B6">
      <w:pPr>
        <w:rPr>
          <w:sz w:val="28"/>
          <w:szCs w:val="28"/>
        </w:rPr>
      </w:pPr>
      <w:r>
        <w:rPr>
          <w:sz w:val="28"/>
          <w:szCs w:val="28"/>
        </w:rPr>
        <w:t>Requirements to be confirmed.</w:t>
      </w:r>
    </w:p>
    <w:sectPr w:rsidR="00D73C44" w:rsidRPr="00D73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D18DB"/>
    <w:multiLevelType w:val="hybridMultilevel"/>
    <w:tmpl w:val="D57A54E2"/>
    <w:lvl w:ilvl="0" w:tplc="AE3499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3103A"/>
    <w:multiLevelType w:val="hybridMultilevel"/>
    <w:tmpl w:val="CE32E86E"/>
    <w:lvl w:ilvl="0" w:tplc="AE3499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6866A0"/>
    <w:multiLevelType w:val="hybridMultilevel"/>
    <w:tmpl w:val="C834F174"/>
    <w:lvl w:ilvl="0" w:tplc="AE3499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7B6A"/>
    <w:multiLevelType w:val="hybridMultilevel"/>
    <w:tmpl w:val="CDFC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D6D20"/>
    <w:multiLevelType w:val="hybridMultilevel"/>
    <w:tmpl w:val="096CB4A6"/>
    <w:lvl w:ilvl="0" w:tplc="FEF8FC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25"/>
    <w:rsid w:val="000943B6"/>
    <w:rsid w:val="00114448"/>
    <w:rsid w:val="00146725"/>
    <w:rsid w:val="00155BAC"/>
    <w:rsid w:val="002B5A84"/>
    <w:rsid w:val="00543987"/>
    <w:rsid w:val="007A216F"/>
    <w:rsid w:val="00826CAF"/>
    <w:rsid w:val="00AC5B0D"/>
    <w:rsid w:val="00BA1DB5"/>
    <w:rsid w:val="00C762BE"/>
    <w:rsid w:val="00D73C44"/>
    <w:rsid w:val="00D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6CE7A"/>
  <w15:chartTrackingRefBased/>
  <w15:docId w15:val="{D1C6715E-F984-4FC4-9A4B-1B3BB25D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725"/>
    <w:pPr>
      <w:ind w:left="720"/>
      <w:contextualSpacing/>
    </w:pPr>
  </w:style>
  <w:style w:type="table" w:styleId="TableGrid">
    <w:name w:val="Table Grid"/>
    <w:basedOn w:val="TableNormal"/>
    <w:uiPriority w:val="39"/>
    <w:rsid w:val="00DF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Day</dc:creator>
  <cp:keywords/>
  <dc:description/>
  <cp:lastModifiedBy>Russell Day</cp:lastModifiedBy>
  <cp:revision>3</cp:revision>
  <dcterms:created xsi:type="dcterms:W3CDTF">2020-07-28T14:41:00Z</dcterms:created>
  <dcterms:modified xsi:type="dcterms:W3CDTF">2021-03-16T09:44:00Z</dcterms:modified>
</cp:coreProperties>
</file>