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4F94" w14:textId="730245D8" w:rsidR="00D30869" w:rsidRDefault="005B07D1" w:rsidP="00451122">
      <w:pPr>
        <w:rPr>
          <w:sz w:val="28"/>
          <w:szCs w:val="28"/>
        </w:rPr>
      </w:pPr>
      <w:r>
        <w:rPr>
          <w:b/>
          <w:bCs/>
          <w:sz w:val="28"/>
          <w:szCs w:val="28"/>
          <w:u w:val="single"/>
        </w:rPr>
        <w:t>Testing and Classification of Composite Fire-resistant Doorsets</w:t>
      </w:r>
    </w:p>
    <w:p w14:paraId="0661FDFD" w14:textId="7C3BD823" w:rsidR="005B07D1" w:rsidRPr="00121E1B" w:rsidRDefault="005B07D1" w:rsidP="00121E1B">
      <w:pPr>
        <w:pStyle w:val="Heading2"/>
        <w:shd w:val="clear" w:color="auto" w:fill="FFFFFF"/>
        <w:spacing w:before="0" w:after="75"/>
        <w:rPr>
          <w:rFonts w:asciiTheme="minorHAnsi" w:hAnsiTheme="minorHAnsi" w:cstheme="minorHAnsi"/>
          <w:color w:val="auto"/>
          <w:sz w:val="28"/>
          <w:szCs w:val="28"/>
        </w:rPr>
      </w:pPr>
      <w:r w:rsidRPr="00121E1B">
        <w:rPr>
          <w:rFonts w:asciiTheme="minorHAnsi" w:hAnsiTheme="minorHAnsi" w:cstheme="minorHAnsi"/>
          <w:color w:val="auto"/>
          <w:sz w:val="28"/>
          <w:szCs w:val="28"/>
        </w:rPr>
        <w:t>Building Regulation guidance in the UK allows fire-resistant doorsets to demonstrate performance by either British or European Standards. However, following the introduction of the Construction Products Regulations (CPR) on 1</w:t>
      </w:r>
      <w:r w:rsidRPr="00121E1B">
        <w:rPr>
          <w:rFonts w:asciiTheme="minorHAnsi" w:hAnsiTheme="minorHAnsi" w:cstheme="minorHAnsi"/>
          <w:color w:val="auto"/>
          <w:sz w:val="28"/>
          <w:szCs w:val="28"/>
          <w:vertAlign w:val="superscript"/>
        </w:rPr>
        <w:t>st</w:t>
      </w:r>
      <w:r w:rsidRPr="00121E1B">
        <w:rPr>
          <w:rFonts w:asciiTheme="minorHAnsi" w:hAnsiTheme="minorHAnsi" w:cstheme="minorHAnsi"/>
          <w:color w:val="auto"/>
          <w:sz w:val="28"/>
          <w:szCs w:val="28"/>
        </w:rPr>
        <w:t xml:space="preserve"> July 2013</w:t>
      </w:r>
      <w:r w:rsidR="009C12CE">
        <w:rPr>
          <w:rFonts w:asciiTheme="minorHAnsi" w:hAnsiTheme="minorHAnsi" w:cstheme="minorHAnsi"/>
          <w:color w:val="auto"/>
          <w:sz w:val="28"/>
          <w:szCs w:val="28"/>
        </w:rPr>
        <w:t xml:space="preserve"> and following the UKs exit from the EU</w:t>
      </w:r>
      <w:r w:rsidR="00121E1B" w:rsidRPr="00121E1B">
        <w:rPr>
          <w:rFonts w:asciiTheme="minorHAnsi" w:hAnsiTheme="minorHAnsi" w:cstheme="minorHAnsi"/>
          <w:color w:val="auto"/>
          <w:sz w:val="28"/>
          <w:szCs w:val="28"/>
        </w:rPr>
        <w:t xml:space="preserve"> all external doorsets must be</w:t>
      </w:r>
      <w:r w:rsidR="009C12CE">
        <w:rPr>
          <w:rFonts w:asciiTheme="minorHAnsi" w:hAnsiTheme="minorHAnsi" w:cstheme="minorHAnsi"/>
          <w:color w:val="auto"/>
          <w:sz w:val="28"/>
          <w:szCs w:val="28"/>
        </w:rPr>
        <w:t xml:space="preserve"> either</w:t>
      </w:r>
      <w:r w:rsidR="00121E1B" w:rsidRPr="00121E1B">
        <w:rPr>
          <w:rFonts w:asciiTheme="minorHAnsi" w:hAnsiTheme="minorHAnsi" w:cstheme="minorHAnsi"/>
          <w:color w:val="auto"/>
          <w:sz w:val="28"/>
          <w:szCs w:val="28"/>
        </w:rPr>
        <w:t xml:space="preserve"> CE marked</w:t>
      </w:r>
      <w:r w:rsidR="009C12CE">
        <w:rPr>
          <w:rStyle w:val="FootnoteReference"/>
          <w:rFonts w:asciiTheme="minorHAnsi" w:hAnsiTheme="minorHAnsi" w:cstheme="minorHAnsi"/>
          <w:color w:val="auto"/>
          <w:sz w:val="28"/>
          <w:szCs w:val="28"/>
        </w:rPr>
        <w:footnoteReference w:id="1"/>
      </w:r>
      <w:r w:rsidR="00121E1B" w:rsidRPr="00121E1B">
        <w:rPr>
          <w:rFonts w:asciiTheme="minorHAnsi" w:hAnsiTheme="minorHAnsi" w:cstheme="minorHAnsi"/>
          <w:color w:val="auto"/>
          <w:sz w:val="28"/>
          <w:szCs w:val="28"/>
        </w:rPr>
        <w:t xml:space="preserve"> </w:t>
      </w:r>
      <w:r w:rsidR="009C12CE">
        <w:rPr>
          <w:rFonts w:asciiTheme="minorHAnsi" w:hAnsiTheme="minorHAnsi" w:cstheme="minorHAnsi"/>
          <w:color w:val="auto"/>
          <w:sz w:val="28"/>
          <w:szCs w:val="28"/>
        </w:rPr>
        <w:t xml:space="preserve">or UKCA marked </w:t>
      </w:r>
      <w:r w:rsidR="00121E1B" w:rsidRPr="00121E1B">
        <w:rPr>
          <w:rFonts w:asciiTheme="minorHAnsi" w:hAnsiTheme="minorHAnsi" w:cstheme="minorHAnsi"/>
          <w:color w:val="auto"/>
          <w:sz w:val="28"/>
          <w:szCs w:val="28"/>
        </w:rPr>
        <w:t xml:space="preserve">in accordance </w:t>
      </w:r>
      <w:r w:rsidR="00121E1B" w:rsidRPr="00121E1B">
        <w:rPr>
          <w:rFonts w:asciiTheme="minorHAnsi" w:hAnsiTheme="minorHAnsi" w:cstheme="minorHAnsi"/>
          <w:i/>
          <w:iCs/>
          <w:color w:val="auto"/>
          <w:sz w:val="28"/>
          <w:szCs w:val="28"/>
        </w:rPr>
        <w:t>with EN 14351-1:2006+A2:2016 -</w:t>
      </w:r>
      <w:r w:rsidR="00121E1B" w:rsidRPr="00121E1B">
        <w:rPr>
          <w:rFonts w:asciiTheme="minorHAnsi" w:eastAsia="Times New Roman" w:hAnsiTheme="minorHAnsi" w:cstheme="minorHAnsi"/>
          <w:i/>
          <w:iCs/>
          <w:color w:val="auto"/>
          <w:sz w:val="28"/>
          <w:szCs w:val="28"/>
          <w:lang w:eastAsia="en-GB"/>
        </w:rPr>
        <w:t xml:space="preserve"> Windows and doors. Product standard, performance characteristics. Windows and external pedestrian doorsets</w:t>
      </w:r>
      <w:r w:rsidR="00121E1B">
        <w:rPr>
          <w:rFonts w:asciiTheme="minorHAnsi" w:eastAsia="Times New Roman" w:hAnsiTheme="minorHAnsi" w:cstheme="minorHAnsi"/>
          <w:color w:val="auto"/>
          <w:sz w:val="28"/>
          <w:szCs w:val="28"/>
          <w:lang w:eastAsia="en-GB"/>
        </w:rPr>
        <w:t xml:space="preserve"> </w:t>
      </w:r>
      <w:r w:rsidRPr="00121E1B">
        <w:rPr>
          <w:rFonts w:asciiTheme="minorHAnsi" w:hAnsiTheme="minorHAnsi" w:cstheme="minorHAnsi"/>
          <w:color w:val="auto"/>
          <w:sz w:val="28"/>
          <w:szCs w:val="28"/>
        </w:rPr>
        <w:t>and</w:t>
      </w:r>
      <w:r w:rsidR="00121E1B">
        <w:rPr>
          <w:rFonts w:asciiTheme="minorHAnsi" w:hAnsiTheme="minorHAnsi" w:cstheme="minorHAnsi"/>
          <w:color w:val="auto"/>
          <w:sz w:val="28"/>
          <w:szCs w:val="28"/>
        </w:rPr>
        <w:t xml:space="preserve"> following</w:t>
      </w:r>
      <w:r w:rsidRPr="00121E1B">
        <w:rPr>
          <w:rFonts w:asciiTheme="minorHAnsi" w:hAnsiTheme="minorHAnsi" w:cstheme="minorHAnsi"/>
          <w:color w:val="auto"/>
          <w:sz w:val="28"/>
          <w:szCs w:val="28"/>
        </w:rPr>
        <w:t xml:space="preserve"> the end of the co-existence period of </w:t>
      </w:r>
      <w:r w:rsidRPr="00121E1B">
        <w:rPr>
          <w:rFonts w:asciiTheme="minorHAnsi" w:hAnsiTheme="minorHAnsi" w:cstheme="minorHAnsi"/>
          <w:i/>
          <w:iCs/>
          <w:color w:val="auto"/>
          <w:sz w:val="28"/>
          <w:szCs w:val="28"/>
        </w:rPr>
        <w:t>‘EN 16034:2014 - Pedestrian doorsets, industrial, commercial, garage doors and openable windows — Product standard, performance characteristics — Fire resisting</w:t>
      </w:r>
      <w:r w:rsidR="00572054" w:rsidRPr="00121E1B">
        <w:rPr>
          <w:rFonts w:asciiTheme="minorHAnsi" w:hAnsiTheme="minorHAnsi" w:cstheme="minorHAnsi"/>
          <w:i/>
          <w:iCs/>
          <w:color w:val="auto"/>
          <w:sz w:val="28"/>
          <w:szCs w:val="28"/>
        </w:rPr>
        <w:t xml:space="preserve"> </w:t>
      </w:r>
      <w:r w:rsidRPr="00121E1B">
        <w:rPr>
          <w:rFonts w:asciiTheme="minorHAnsi" w:hAnsiTheme="minorHAnsi" w:cstheme="minorHAnsi"/>
          <w:i/>
          <w:iCs/>
          <w:color w:val="auto"/>
          <w:sz w:val="28"/>
          <w:szCs w:val="28"/>
        </w:rPr>
        <w:t>and/or smoke control characteristics</w:t>
      </w:r>
      <w:r w:rsidR="00572054" w:rsidRPr="00121E1B">
        <w:rPr>
          <w:rFonts w:asciiTheme="minorHAnsi" w:hAnsiTheme="minorHAnsi" w:cstheme="minorHAnsi"/>
          <w:i/>
          <w:iCs/>
          <w:color w:val="auto"/>
          <w:sz w:val="28"/>
          <w:szCs w:val="28"/>
        </w:rPr>
        <w:t>’</w:t>
      </w:r>
      <w:r w:rsidRPr="00121E1B">
        <w:rPr>
          <w:rFonts w:asciiTheme="minorHAnsi" w:hAnsiTheme="minorHAnsi" w:cstheme="minorHAnsi"/>
          <w:color w:val="auto"/>
          <w:sz w:val="28"/>
          <w:szCs w:val="28"/>
        </w:rPr>
        <w:t xml:space="preserve"> on 30</w:t>
      </w:r>
      <w:r w:rsidRPr="00121E1B">
        <w:rPr>
          <w:rFonts w:asciiTheme="minorHAnsi" w:hAnsiTheme="minorHAnsi" w:cstheme="minorHAnsi"/>
          <w:color w:val="auto"/>
          <w:sz w:val="28"/>
          <w:szCs w:val="28"/>
          <w:vertAlign w:val="superscript"/>
        </w:rPr>
        <w:t>th</w:t>
      </w:r>
      <w:r w:rsidRPr="00121E1B">
        <w:rPr>
          <w:rFonts w:asciiTheme="minorHAnsi" w:hAnsiTheme="minorHAnsi" w:cstheme="minorHAnsi"/>
          <w:color w:val="auto"/>
          <w:sz w:val="28"/>
          <w:szCs w:val="28"/>
        </w:rPr>
        <w:t xml:space="preserve"> November 2019, all external fire-resisting doorsets</w:t>
      </w:r>
      <w:r w:rsidR="00572054" w:rsidRPr="00121E1B">
        <w:rPr>
          <w:rStyle w:val="FootnoteReference"/>
          <w:rFonts w:asciiTheme="minorHAnsi" w:hAnsiTheme="minorHAnsi" w:cstheme="minorHAnsi"/>
          <w:color w:val="auto"/>
          <w:sz w:val="28"/>
          <w:szCs w:val="28"/>
        </w:rPr>
        <w:footnoteReference w:id="2"/>
      </w:r>
      <w:r w:rsidRPr="00121E1B">
        <w:rPr>
          <w:rFonts w:asciiTheme="minorHAnsi" w:hAnsiTheme="minorHAnsi" w:cstheme="minorHAnsi"/>
          <w:color w:val="auto"/>
          <w:sz w:val="28"/>
          <w:szCs w:val="28"/>
        </w:rPr>
        <w:t xml:space="preserve"> must have a Declaration of Performance and be CE</w:t>
      </w:r>
      <w:r w:rsidR="009C12CE">
        <w:rPr>
          <w:rFonts w:asciiTheme="minorHAnsi" w:hAnsiTheme="minorHAnsi" w:cstheme="minorHAnsi"/>
          <w:color w:val="auto"/>
          <w:sz w:val="28"/>
          <w:szCs w:val="28"/>
        </w:rPr>
        <w:t xml:space="preserve"> or UKCA</w:t>
      </w:r>
      <w:r w:rsidRPr="00121E1B">
        <w:rPr>
          <w:rFonts w:asciiTheme="minorHAnsi" w:hAnsiTheme="minorHAnsi" w:cstheme="minorHAnsi"/>
          <w:color w:val="auto"/>
          <w:sz w:val="28"/>
          <w:szCs w:val="28"/>
        </w:rPr>
        <w:t xml:space="preserve"> marked in accordance with the CPR. This requirement to comply with the CPR means that all testing and classification must be carried out using the relevant European test and classification standards.</w:t>
      </w:r>
    </w:p>
    <w:p w14:paraId="14FC277C" w14:textId="26AE7137" w:rsidR="005B07D1" w:rsidRDefault="005B07D1" w:rsidP="00451122">
      <w:pPr>
        <w:autoSpaceDE w:val="0"/>
        <w:autoSpaceDN w:val="0"/>
        <w:adjustRightInd w:val="0"/>
        <w:spacing w:line="240" w:lineRule="auto"/>
        <w:rPr>
          <w:rFonts w:cstheme="minorHAnsi"/>
          <w:sz w:val="28"/>
          <w:szCs w:val="28"/>
        </w:rPr>
      </w:pPr>
      <w:r>
        <w:rPr>
          <w:rFonts w:cstheme="minorHAnsi"/>
          <w:sz w:val="28"/>
          <w:szCs w:val="28"/>
        </w:rPr>
        <w:t xml:space="preserve">It </w:t>
      </w:r>
      <w:r w:rsidRPr="005B07D1">
        <w:rPr>
          <w:rFonts w:cstheme="minorHAnsi"/>
          <w:b/>
          <w:bCs/>
          <w:sz w:val="28"/>
          <w:szCs w:val="28"/>
        </w:rPr>
        <w:t>must</w:t>
      </w:r>
      <w:r>
        <w:rPr>
          <w:rFonts w:cstheme="minorHAnsi"/>
          <w:sz w:val="28"/>
          <w:szCs w:val="28"/>
        </w:rPr>
        <w:t xml:space="preserve"> be noted that </w:t>
      </w:r>
      <w:r w:rsidR="00CD439C">
        <w:rPr>
          <w:rFonts w:cstheme="minorHAnsi"/>
          <w:sz w:val="28"/>
          <w:szCs w:val="28"/>
        </w:rPr>
        <w:t xml:space="preserve">although </w:t>
      </w:r>
      <w:r>
        <w:rPr>
          <w:rFonts w:cstheme="minorHAnsi"/>
          <w:sz w:val="28"/>
          <w:szCs w:val="28"/>
        </w:rPr>
        <w:t xml:space="preserve">product standard, </w:t>
      </w:r>
      <w:r w:rsidR="00451122" w:rsidRPr="00451122">
        <w:rPr>
          <w:rFonts w:cstheme="minorHAnsi"/>
          <w:i/>
          <w:iCs/>
          <w:sz w:val="28"/>
          <w:szCs w:val="28"/>
        </w:rPr>
        <w:t>‘</w:t>
      </w:r>
      <w:r w:rsidRPr="00451122">
        <w:rPr>
          <w:rFonts w:cstheme="minorHAnsi"/>
          <w:i/>
          <w:iCs/>
          <w:sz w:val="28"/>
          <w:szCs w:val="28"/>
        </w:rPr>
        <w:t xml:space="preserve">EN 14351-2:2018 – Windows </w:t>
      </w:r>
      <w:r w:rsidR="00451122" w:rsidRPr="00451122">
        <w:rPr>
          <w:rFonts w:cstheme="minorHAnsi"/>
          <w:i/>
          <w:iCs/>
          <w:sz w:val="28"/>
          <w:szCs w:val="28"/>
        </w:rPr>
        <w:t>and doors – Product standard, performance characteristics. Part 2: Internal pedestrian doorsets’</w:t>
      </w:r>
      <w:r w:rsidR="00451122">
        <w:rPr>
          <w:rFonts w:cstheme="minorHAnsi"/>
          <w:sz w:val="28"/>
          <w:szCs w:val="28"/>
        </w:rPr>
        <w:t xml:space="preserve"> </w:t>
      </w:r>
      <w:r w:rsidR="00CD439C">
        <w:rPr>
          <w:rFonts w:cstheme="minorHAnsi"/>
          <w:sz w:val="28"/>
          <w:szCs w:val="28"/>
        </w:rPr>
        <w:t xml:space="preserve">has been published it has </w:t>
      </w:r>
      <w:r w:rsidR="00451122">
        <w:rPr>
          <w:rFonts w:cstheme="minorHAnsi"/>
          <w:sz w:val="28"/>
          <w:szCs w:val="28"/>
        </w:rPr>
        <w:t>not been cited in the Official Journal of the European Union (OJEU)</w:t>
      </w:r>
      <w:r w:rsidR="00CD439C">
        <w:rPr>
          <w:rFonts w:cstheme="minorHAnsi"/>
          <w:sz w:val="28"/>
          <w:szCs w:val="28"/>
        </w:rPr>
        <w:t xml:space="preserve"> and </w:t>
      </w:r>
      <w:r w:rsidR="009C12CE">
        <w:rPr>
          <w:rFonts w:cstheme="minorHAnsi"/>
          <w:sz w:val="28"/>
          <w:szCs w:val="28"/>
        </w:rPr>
        <w:t xml:space="preserve">has not become a Designated Standard in the UK and </w:t>
      </w:r>
      <w:r w:rsidR="00CD439C">
        <w:rPr>
          <w:rFonts w:cstheme="minorHAnsi"/>
          <w:sz w:val="28"/>
          <w:szCs w:val="28"/>
        </w:rPr>
        <w:t xml:space="preserve">therefore </w:t>
      </w:r>
      <w:r w:rsidR="00121E1B">
        <w:rPr>
          <w:rFonts w:cstheme="minorHAnsi"/>
          <w:sz w:val="28"/>
          <w:szCs w:val="28"/>
        </w:rPr>
        <w:t xml:space="preserve">this standard </w:t>
      </w:r>
      <w:r w:rsidR="009C12CE">
        <w:rPr>
          <w:rFonts w:cstheme="minorHAnsi"/>
          <w:sz w:val="28"/>
          <w:szCs w:val="28"/>
        </w:rPr>
        <w:t xml:space="preserve">cannot be used to </w:t>
      </w:r>
      <w:r w:rsidR="00CD439C">
        <w:rPr>
          <w:rFonts w:cstheme="minorHAnsi"/>
          <w:sz w:val="28"/>
          <w:szCs w:val="28"/>
        </w:rPr>
        <w:t xml:space="preserve">CE </w:t>
      </w:r>
      <w:r w:rsidR="009C12CE">
        <w:rPr>
          <w:rFonts w:cstheme="minorHAnsi"/>
          <w:sz w:val="28"/>
          <w:szCs w:val="28"/>
        </w:rPr>
        <w:t xml:space="preserve">or UKCA </w:t>
      </w:r>
      <w:r w:rsidR="00CD439C">
        <w:rPr>
          <w:rFonts w:cstheme="minorHAnsi"/>
          <w:sz w:val="28"/>
          <w:szCs w:val="28"/>
        </w:rPr>
        <w:t xml:space="preserve">mark internal doorsets </w:t>
      </w:r>
      <w:r w:rsidR="009C12CE">
        <w:rPr>
          <w:rFonts w:cstheme="minorHAnsi"/>
          <w:sz w:val="28"/>
          <w:szCs w:val="28"/>
        </w:rPr>
        <w:t>and therefore the requirements of the CPR do not apply to internal doorsets.</w:t>
      </w:r>
      <w:r w:rsidR="00CD439C">
        <w:rPr>
          <w:rFonts w:cstheme="minorHAnsi"/>
          <w:sz w:val="28"/>
          <w:szCs w:val="28"/>
        </w:rPr>
        <w:t xml:space="preserve"> This means that</w:t>
      </w:r>
      <w:r w:rsidR="00451122">
        <w:rPr>
          <w:rFonts w:cstheme="minorHAnsi"/>
          <w:sz w:val="28"/>
          <w:szCs w:val="28"/>
        </w:rPr>
        <w:t xml:space="preserve"> any fire-resistant flat entrance doorset that opens onto a corridor, lobby or staircase</w:t>
      </w:r>
      <w:r w:rsidR="00572054">
        <w:rPr>
          <w:rFonts w:cstheme="minorHAnsi"/>
          <w:sz w:val="28"/>
          <w:szCs w:val="28"/>
        </w:rPr>
        <w:t xml:space="preserve"> is classed as an internal doorset</w:t>
      </w:r>
      <w:r w:rsidR="00572054">
        <w:rPr>
          <w:rStyle w:val="FootnoteReference"/>
          <w:rFonts w:cstheme="minorHAnsi"/>
          <w:sz w:val="28"/>
          <w:szCs w:val="28"/>
        </w:rPr>
        <w:footnoteReference w:id="3"/>
      </w:r>
      <w:r w:rsidR="00572054">
        <w:rPr>
          <w:rFonts w:cstheme="minorHAnsi"/>
          <w:sz w:val="28"/>
          <w:szCs w:val="28"/>
        </w:rPr>
        <w:t xml:space="preserve"> and</w:t>
      </w:r>
      <w:r w:rsidR="00451122">
        <w:rPr>
          <w:rFonts w:cstheme="minorHAnsi"/>
          <w:sz w:val="28"/>
          <w:szCs w:val="28"/>
        </w:rPr>
        <w:t xml:space="preserve"> </w:t>
      </w:r>
      <w:r w:rsidR="00451122" w:rsidRPr="00451122">
        <w:rPr>
          <w:rFonts w:cstheme="minorHAnsi"/>
          <w:b/>
          <w:bCs/>
          <w:sz w:val="28"/>
          <w:szCs w:val="28"/>
        </w:rPr>
        <w:t>cannot</w:t>
      </w:r>
      <w:r w:rsidR="00451122">
        <w:rPr>
          <w:rFonts w:cstheme="minorHAnsi"/>
          <w:sz w:val="28"/>
          <w:szCs w:val="28"/>
        </w:rPr>
        <w:t xml:space="preserve"> be CE marked.</w:t>
      </w:r>
    </w:p>
    <w:p w14:paraId="027812E6" w14:textId="77777777" w:rsidR="00121E1B" w:rsidRDefault="00121E1B">
      <w:pPr>
        <w:rPr>
          <w:rFonts w:cstheme="minorHAnsi"/>
          <w:sz w:val="28"/>
          <w:szCs w:val="28"/>
        </w:rPr>
      </w:pPr>
      <w:r>
        <w:rPr>
          <w:rFonts w:cstheme="minorHAnsi"/>
          <w:sz w:val="28"/>
          <w:szCs w:val="28"/>
        </w:rPr>
        <w:br w:type="page"/>
      </w:r>
    </w:p>
    <w:p w14:paraId="4921181E" w14:textId="4B291784" w:rsidR="00451122" w:rsidRDefault="00451122" w:rsidP="00451122">
      <w:pPr>
        <w:autoSpaceDE w:val="0"/>
        <w:autoSpaceDN w:val="0"/>
        <w:adjustRightInd w:val="0"/>
        <w:spacing w:line="240" w:lineRule="auto"/>
        <w:rPr>
          <w:rFonts w:cstheme="minorHAnsi"/>
          <w:sz w:val="28"/>
          <w:szCs w:val="28"/>
        </w:rPr>
      </w:pPr>
      <w:r>
        <w:rPr>
          <w:rFonts w:cstheme="minorHAnsi"/>
          <w:sz w:val="28"/>
          <w:szCs w:val="28"/>
        </w:rPr>
        <w:lastRenderedPageBreak/>
        <w:t xml:space="preserve">The testing and classification requirements </w:t>
      </w:r>
      <w:r w:rsidR="00B870F1">
        <w:rPr>
          <w:rFonts w:cstheme="minorHAnsi"/>
          <w:sz w:val="28"/>
          <w:szCs w:val="28"/>
        </w:rPr>
        <w:t>for fire-resistant entrance doorsets</w:t>
      </w:r>
      <w:r w:rsidR="00CD439C">
        <w:rPr>
          <w:rFonts w:cstheme="minorHAnsi"/>
          <w:sz w:val="28"/>
          <w:szCs w:val="28"/>
        </w:rPr>
        <w:t>:</w:t>
      </w:r>
      <w:r w:rsidR="00B870F1">
        <w:rPr>
          <w:rFonts w:cstheme="minorHAnsi"/>
          <w:sz w:val="28"/>
          <w:szCs w:val="28"/>
        </w:rPr>
        <w:t xml:space="preserve"> </w:t>
      </w:r>
    </w:p>
    <w:tbl>
      <w:tblPr>
        <w:tblStyle w:val="TableGrid"/>
        <w:tblW w:w="0" w:type="auto"/>
        <w:tblLook w:val="04A0" w:firstRow="1" w:lastRow="0" w:firstColumn="1" w:lastColumn="0" w:noHBand="0" w:noVBand="1"/>
      </w:tblPr>
      <w:tblGrid>
        <w:gridCol w:w="2022"/>
        <w:gridCol w:w="1517"/>
        <w:gridCol w:w="1534"/>
        <w:gridCol w:w="1532"/>
        <w:gridCol w:w="1490"/>
        <w:gridCol w:w="921"/>
      </w:tblGrid>
      <w:tr w:rsidR="004E758F" w14:paraId="709EF398" w14:textId="77777777" w:rsidTr="00B74BD0">
        <w:tc>
          <w:tcPr>
            <w:tcW w:w="2022" w:type="dxa"/>
            <w:vMerge w:val="restart"/>
            <w:vAlign w:val="center"/>
          </w:tcPr>
          <w:p w14:paraId="5F56BB19" w14:textId="1CDD8A0E" w:rsidR="004E758F" w:rsidRDefault="004E758F" w:rsidP="00451122">
            <w:pPr>
              <w:autoSpaceDE w:val="0"/>
              <w:autoSpaceDN w:val="0"/>
              <w:adjustRightInd w:val="0"/>
              <w:jc w:val="center"/>
              <w:rPr>
                <w:rFonts w:cstheme="minorHAnsi"/>
                <w:sz w:val="28"/>
                <w:szCs w:val="28"/>
              </w:rPr>
            </w:pPr>
            <w:r>
              <w:rPr>
                <w:rFonts w:cstheme="minorHAnsi"/>
                <w:sz w:val="28"/>
                <w:szCs w:val="28"/>
              </w:rPr>
              <w:t>Characteristic</w:t>
            </w:r>
          </w:p>
        </w:tc>
        <w:tc>
          <w:tcPr>
            <w:tcW w:w="3051" w:type="dxa"/>
            <w:gridSpan w:val="2"/>
          </w:tcPr>
          <w:p w14:paraId="537B6607" w14:textId="2BC2F33B" w:rsidR="004E758F" w:rsidRDefault="004E758F" w:rsidP="00451122">
            <w:pPr>
              <w:autoSpaceDE w:val="0"/>
              <w:autoSpaceDN w:val="0"/>
              <w:adjustRightInd w:val="0"/>
              <w:jc w:val="center"/>
              <w:rPr>
                <w:rFonts w:cstheme="minorHAnsi"/>
                <w:sz w:val="28"/>
                <w:szCs w:val="28"/>
              </w:rPr>
            </w:pPr>
            <w:r>
              <w:rPr>
                <w:rFonts w:cstheme="minorHAnsi"/>
                <w:sz w:val="28"/>
                <w:szCs w:val="28"/>
              </w:rPr>
              <w:t>British Standards</w:t>
            </w:r>
          </w:p>
        </w:tc>
        <w:tc>
          <w:tcPr>
            <w:tcW w:w="3943" w:type="dxa"/>
            <w:gridSpan w:val="3"/>
          </w:tcPr>
          <w:p w14:paraId="24FBF2D1" w14:textId="1CEFC1EA" w:rsidR="004E758F" w:rsidRDefault="004E758F" w:rsidP="00451122">
            <w:pPr>
              <w:autoSpaceDE w:val="0"/>
              <w:autoSpaceDN w:val="0"/>
              <w:adjustRightInd w:val="0"/>
              <w:jc w:val="center"/>
              <w:rPr>
                <w:rFonts w:cstheme="minorHAnsi"/>
                <w:sz w:val="28"/>
                <w:szCs w:val="28"/>
              </w:rPr>
            </w:pPr>
            <w:r>
              <w:rPr>
                <w:rFonts w:cstheme="minorHAnsi"/>
                <w:sz w:val="28"/>
                <w:szCs w:val="28"/>
              </w:rPr>
              <w:t>European Standard</w:t>
            </w:r>
          </w:p>
        </w:tc>
      </w:tr>
      <w:tr w:rsidR="00B74BD0" w14:paraId="5194F35C" w14:textId="77777777" w:rsidTr="00B74BD0">
        <w:tc>
          <w:tcPr>
            <w:tcW w:w="2022" w:type="dxa"/>
            <w:vMerge/>
            <w:vAlign w:val="center"/>
          </w:tcPr>
          <w:p w14:paraId="1CF40CDA" w14:textId="77777777" w:rsidR="004E758F" w:rsidRDefault="004E758F" w:rsidP="00451122">
            <w:pPr>
              <w:autoSpaceDE w:val="0"/>
              <w:autoSpaceDN w:val="0"/>
              <w:adjustRightInd w:val="0"/>
              <w:jc w:val="center"/>
              <w:rPr>
                <w:rFonts w:cstheme="minorHAnsi"/>
                <w:sz w:val="28"/>
                <w:szCs w:val="28"/>
              </w:rPr>
            </w:pPr>
          </w:p>
        </w:tc>
        <w:tc>
          <w:tcPr>
            <w:tcW w:w="1517" w:type="dxa"/>
            <w:vAlign w:val="center"/>
          </w:tcPr>
          <w:p w14:paraId="599DB9C5" w14:textId="1ABD1230" w:rsidR="004E758F" w:rsidRPr="00451122" w:rsidRDefault="004E758F" w:rsidP="00451122">
            <w:pPr>
              <w:autoSpaceDE w:val="0"/>
              <w:autoSpaceDN w:val="0"/>
              <w:adjustRightInd w:val="0"/>
              <w:jc w:val="center"/>
              <w:rPr>
                <w:rFonts w:cstheme="minorHAnsi"/>
                <w:sz w:val="24"/>
                <w:szCs w:val="24"/>
              </w:rPr>
            </w:pPr>
            <w:r w:rsidRPr="00451122">
              <w:rPr>
                <w:rFonts w:cstheme="minorHAnsi"/>
                <w:sz w:val="24"/>
                <w:szCs w:val="24"/>
              </w:rPr>
              <w:t>Test</w:t>
            </w:r>
          </w:p>
        </w:tc>
        <w:tc>
          <w:tcPr>
            <w:tcW w:w="1534" w:type="dxa"/>
            <w:vAlign w:val="center"/>
          </w:tcPr>
          <w:p w14:paraId="12ECABB6" w14:textId="103C3621" w:rsidR="004E758F" w:rsidRPr="00451122" w:rsidRDefault="004E758F" w:rsidP="00451122">
            <w:pPr>
              <w:autoSpaceDE w:val="0"/>
              <w:autoSpaceDN w:val="0"/>
              <w:adjustRightInd w:val="0"/>
              <w:jc w:val="center"/>
              <w:rPr>
                <w:rFonts w:cstheme="minorHAnsi"/>
                <w:sz w:val="24"/>
                <w:szCs w:val="24"/>
              </w:rPr>
            </w:pPr>
            <w:r w:rsidRPr="00451122">
              <w:rPr>
                <w:rFonts w:cstheme="minorHAnsi"/>
                <w:sz w:val="24"/>
                <w:szCs w:val="24"/>
              </w:rPr>
              <w:t>Classification</w:t>
            </w:r>
          </w:p>
        </w:tc>
        <w:tc>
          <w:tcPr>
            <w:tcW w:w="1532" w:type="dxa"/>
            <w:vAlign w:val="center"/>
          </w:tcPr>
          <w:p w14:paraId="1C84233C" w14:textId="75939D77" w:rsidR="004E758F" w:rsidRPr="00451122" w:rsidRDefault="004E758F" w:rsidP="00451122">
            <w:pPr>
              <w:autoSpaceDE w:val="0"/>
              <w:autoSpaceDN w:val="0"/>
              <w:adjustRightInd w:val="0"/>
              <w:jc w:val="center"/>
              <w:rPr>
                <w:rFonts w:cstheme="minorHAnsi"/>
                <w:sz w:val="24"/>
                <w:szCs w:val="24"/>
              </w:rPr>
            </w:pPr>
            <w:r w:rsidRPr="00451122">
              <w:rPr>
                <w:rFonts w:cstheme="minorHAnsi"/>
                <w:sz w:val="24"/>
                <w:szCs w:val="24"/>
              </w:rPr>
              <w:t>Test</w:t>
            </w:r>
          </w:p>
        </w:tc>
        <w:tc>
          <w:tcPr>
            <w:tcW w:w="1490" w:type="dxa"/>
            <w:vAlign w:val="center"/>
          </w:tcPr>
          <w:p w14:paraId="14487E88" w14:textId="7350F34A" w:rsidR="004E758F" w:rsidRPr="00451122" w:rsidRDefault="004E758F" w:rsidP="00451122">
            <w:pPr>
              <w:autoSpaceDE w:val="0"/>
              <w:autoSpaceDN w:val="0"/>
              <w:adjustRightInd w:val="0"/>
              <w:jc w:val="center"/>
              <w:rPr>
                <w:rFonts w:cstheme="minorHAnsi"/>
                <w:sz w:val="24"/>
                <w:szCs w:val="24"/>
              </w:rPr>
            </w:pPr>
            <w:r w:rsidRPr="00451122">
              <w:rPr>
                <w:rFonts w:cstheme="minorHAnsi"/>
                <w:sz w:val="24"/>
                <w:szCs w:val="24"/>
              </w:rPr>
              <w:t>Classification</w:t>
            </w:r>
          </w:p>
        </w:tc>
        <w:tc>
          <w:tcPr>
            <w:tcW w:w="921" w:type="dxa"/>
            <w:vAlign w:val="center"/>
          </w:tcPr>
          <w:p w14:paraId="3C2AD0B1" w14:textId="2DDF3320" w:rsidR="004E758F" w:rsidRPr="00451122" w:rsidRDefault="004E758F" w:rsidP="00451122">
            <w:pPr>
              <w:autoSpaceDE w:val="0"/>
              <w:autoSpaceDN w:val="0"/>
              <w:adjustRightInd w:val="0"/>
              <w:jc w:val="center"/>
              <w:rPr>
                <w:rFonts w:cstheme="minorHAnsi"/>
                <w:sz w:val="24"/>
                <w:szCs w:val="24"/>
              </w:rPr>
            </w:pPr>
            <w:r w:rsidRPr="00451122">
              <w:rPr>
                <w:rFonts w:cstheme="minorHAnsi"/>
                <w:sz w:val="24"/>
                <w:szCs w:val="24"/>
              </w:rPr>
              <w:t>AVCP System</w:t>
            </w:r>
          </w:p>
        </w:tc>
      </w:tr>
      <w:tr w:rsidR="00B74BD0" w14:paraId="4F71DBD5" w14:textId="77777777" w:rsidTr="00B74BD0">
        <w:tc>
          <w:tcPr>
            <w:tcW w:w="2022" w:type="dxa"/>
            <w:vAlign w:val="center"/>
          </w:tcPr>
          <w:p w14:paraId="5A490130" w14:textId="56E2E5BB" w:rsidR="004E758F" w:rsidRPr="004E758F" w:rsidRDefault="004E758F" w:rsidP="004E758F">
            <w:pPr>
              <w:autoSpaceDE w:val="0"/>
              <w:autoSpaceDN w:val="0"/>
              <w:adjustRightInd w:val="0"/>
              <w:rPr>
                <w:rFonts w:cstheme="minorHAnsi"/>
                <w:sz w:val="24"/>
                <w:szCs w:val="24"/>
              </w:rPr>
            </w:pPr>
            <w:r w:rsidRPr="004E758F">
              <w:rPr>
                <w:rFonts w:cstheme="minorHAnsi"/>
                <w:sz w:val="24"/>
                <w:szCs w:val="24"/>
              </w:rPr>
              <w:t>Resistance to fire</w:t>
            </w:r>
          </w:p>
        </w:tc>
        <w:tc>
          <w:tcPr>
            <w:tcW w:w="1517" w:type="dxa"/>
            <w:vAlign w:val="center"/>
          </w:tcPr>
          <w:p w14:paraId="3DBF7670" w14:textId="435E86C0" w:rsidR="004E758F" w:rsidRPr="004E758F" w:rsidRDefault="004E758F" w:rsidP="00AE544B">
            <w:pPr>
              <w:autoSpaceDE w:val="0"/>
              <w:autoSpaceDN w:val="0"/>
              <w:adjustRightInd w:val="0"/>
              <w:jc w:val="center"/>
              <w:rPr>
                <w:rFonts w:cstheme="minorHAnsi"/>
                <w:sz w:val="18"/>
                <w:szCs w:val="18"/>
              </w:rPr>
            </w:pPr>
            <w:r w:rsidRPr="004E758F">
              <w:rPr>
                <w:rFonts w:cstheme="minorHAnsi"/>
                <w:sz w:val="18"/>
                <w:szCs w:val="18"/>
              </w:rPr>
              <w:t>BS 476-22:1987</w:t>
            </w:r>
          </w:p>
        </w:tc>
        <w:tc>
          <w:tcPr>
            <w:tcW w:w="1534" w:type="dxa"/>
            <w:vAlign w:val="center"/>
          </w:tcPr>
          <w:p w14:paraId="752F8505" w14:textId="7E7DC457" w:rsidR="004E758F" w:rsidRPr="004E758F" w:rsidRDefault="004E758F" w:rsidP="00AE544B">
            <w:pPr>
              <w:autoSpaceDE w:val="0"/>
              <w:autoSpaceDN w:val="0"/>
              <w:adjustRightInd w:val="0"/>
              <w:jc w:val="center"/>
              <w:rPr>
                <w:rFonts w:cstheme="minorHAnsi"/>
                <w:sz w:val="18"/>
                <w:szCs w:val="18"/>
              </w:rPr>
            </w:pPr>
            <w:r w:rsidRPr="004E758F">
              <w:rPr>
                <w:rFonts w:cstheme="minorHAnsi"/>
                <w:sz w:val="18"/>
                <w:szCs w:val="18"/>
              </w:rPr>
              <w:t>BS 476-22:1987</w:t>
            </w:r>
          </w:p>
        </w:tc>
        <w:tc>
          <w:tcPr>
            <w:tcW w:w="1532" w:type="dxa"/>
            <w:vAlign w:val="center"/>
          </w:tcPr>
          <w:p w14:paraId="3B0F04F5" w14:textId="5232A33E" w:rsidR="004E758F" w:rsidRPr="004E758F" w:rsidRDefault="004E758F" w:rsidP="00AE544B">
            <w:pPr>
              <w:autoSpaceDE w:val="0"/>
              <w:autoSpaceDN w:val="0"/>
              <w:adjustRightInd w:val="0"/>
              <w:jc w:val="center"/>
              <w:rPr>
                <w:rFonts w:cstheme="minorHAnsi"/>
                <w:sz w:val="18"/>
                <w:szCs w:val="18"/>
              </w:rPr>
            </w:pPr>
            <w:r>
              <w:rPr>
                <w:rFonts w:cstheme="minorHAnsi"/>
                <w:sz w:val="18"/>
                <w:szCs w:val="18"/>
              </w:rPr>
              <w:t>EN 1634-1:2018</w:t>
            </w:r>
          </w:p>
        </w:tc>
        <w:tc>
          <w:tcPr>
            <w:tcW w:w="1490" w:type="dxa"/>
            <w:vAlign w:val="center"/>
          </w:tcPr>
          <w:p w14:paraId="4A3DF376" w14:textId="2E657A27" w:rsidR="004E758F" w:rsidRPr="004E758F" w:rsidRDefault="004E758F" w:rsidP="00AE544B">
            <w:pPr>
              <w:autoSpaceDE w:val="0"/>
              <w:autoSpaceDN w:val="0"/>
              <w:adjustRightInd w:val="0"/>
              <w:jc w:val="center"/>
              <w:rPr>
                <w:rFonts w:cstheme="minorHAnsi"/>
                <w:sz w:val="18"/>
                <w:szCs w:val="18"/>
              </w:rPr>
            </w:pPr>
            <w:r>
              <w:rPr>
                <w:rFonts w:cstheme="minorHAnsi"/>
                <w:sz w:val="18"/>
                <w:szCs w:val="18"/>
              </w:rPr>
              <w:t>EN 13501-2:2016</w:t>
            </w:r>
          </w:p>
        </w:tc>
        <w:tc>
          <w:tcPr>
            <w:tcW w:w="921" w:type="dxa"/>
            <w:vAlign w:val="center"/>
          </w:tcPr>
          <w:p w14:paraId="45B1C225" w14:textId="060C0090" w:rsidR="004E758F" w:rsidRPr="004E758F" w:rsidRDefault="004E758F" w:rsidP="00AE544B">
            <w:pPr>
              <w:autoSpaceDE w:val="0"/>
              <w:autoSpaceDN w:val="0"/>
              <w:adjustRightInd w:val="0"/>
              <w:jc w:val="center"/>
              <w:rPr>
                <w:rFonts w:cstheme="minorHAnsi"/>
                <w:sz w:val="18"/>
                <w:szCs w:val="18"/>
              </w:rPr>
            </w:pPr>
            <w:r>
              <w:rPr>
                <w:rFonts w:cstheme="minorHAnsi"/>
                <w:sz w:val="18"/>
                <w:szCs w:val="18"/>
              </w:rPr>
              <w:t>1</w:t>
            </w:r>
          </w:p>
        </w:tc>
      </w:tr>
      <w:tr w:rsidR="00B74BD0" w14:paraId="37F64441" w14:textId="77777777" w:rsidTr="00B74BD0">
        <w:tc>
          <w:tcPr>
            <w:tcW w:w="2022" w:type="dxa"/>
            <w:vAlign w:val="center"/>
          </w:tcPr>
          <w:p w14:paraId="5E0B64C7" w14:textId="73CAEF02" w:rsidR="004E758F" w:rsidRPr="004E758F" w:rsidRDefault="004E758F" w:rsidP="004E758F">
            <w:pPr>
              <w:autoSpaceDE w:val="0"/>
              <w:autoSpaceDN w:val="0"/>
              <w:adjustRightInd w:val="0"/>
              <w:rPr>
                <w:rFonts w:cstheme="minorHAnsi"/>
                <w:sz w:val="24"/>
                <w:szCs w:val="24"/>
              </w:rPr>
            </w:pPr>
            <w:r w:rsidRPr="004E758F">
              <w:rPr>
                <w:rFonts w:cstheme="minorHAnsi"/>
                <w:sz w:val="24"/>
                <w:szCs w:val="24"/>
              </w:rPr>
              <w:t>Smoke Control</w:t>
            </w:r>
          </w:p>
        </w:tc>
        <w:tc>
          <w:tcPr>
            <w:tcW w:w="1517" w:type="dxa"/>
            <w:vAlign w:val="center"/>
          </w:tcPr>
          <w:p w14:paraId="7625FD6E" w14:textId="5252D150" w:rsidR="004E758F" w:rsidRPr="004E758F" w:rsidRDefault="004E758F" w:rsidP="00AE544B">
            <w:pPr>
              <w:autoSpaceDE w:val="0"/>
              <w:autoSpaceDN w:val="0"/>
              <w:adjustRightInd w:val="0"/>
              <w:jc w:val="center"/>
              <w:rPr>
                <w:rFonts w:cstheme="minorHAnsi"/>
                <w:sz w:val="18"/>
                <w:szCs w:val="18"/>
              </w:rPr>
            </w:pPr>
            <w:r w:rsidRPr="004E758F">
              <w:rPr>
                <w:rFonts w:cstheme="minorHAnsi"/>
                <w:sz w:val="18"/>
                <w:szCs w:val="18"/>
              </w:rPr>
              <w:t>BS 476-31.1:1983</w:t>
            </w:r>
          </w:p>
        </w:tc>
        <w:tc>
          <w:tcPr>
            <w:tcW w:w="1534" w:type="dxa"/>
            <w:vAlign w:val="center"/>
          </w:tcPr>
          <w:p w14:paraId="2A786EAE" w14:textId="2C4CBF1A" w:rsidR="004E758F" w:rsidRPr="004E758F" w:rsidRDefault="004E758F" w:rsidP="00AE544B">
            <w:pPr>
              <w:autoSpaceDE w:val="0"/>
              <w:autoSpaceDN w:val="0"/>
              <w:adjustRightInd w:val="0"/>
              <w:jc w:val="center"/>
              <w:rPr>
                <w:rFonts w:cstheme="minorHAnsi"/>
                <w:sz w:val="18"/>
                <w:szCs w:val="18"/>
              </w:rPr>
            </w:pPr>
            <w:r w:rsidRPr="004E758F">
              <w:rPr>
                <w:rFonts w:cstheme="minorHAnsi"/>
                <w:sz w:val="18"/>
                <w:szCs w:val="18"/>
              </w:rPr>
              <w:t>BS 476-31.1:1983</w:t>
            </w:r>
          </w:p>
        </w:tc>
        <w:tc>
          <w:tcPr>
            <w:tcW w:w="1532" w:type="dxa"/>
            <w:vAlign w:val="center"/>
          </w:tcPr>
          <w:p w14:paraId="693ADDA7" w14:textId="27FFC6E5" w:rsidR="004E758F" w:rsidRPr="004E758F" w:rsidRDefault="004E758F" w:rsidP="00AE544B">
            <w:pPr>
              <w:autoSpaceDE w:val="0"/>
              <w:autoSpaceDN w:val="0"/>
              <w:adjustRightInd w:val="0"/>
              <w:jc w:val="center"/>
              <w:rPr>
                <w:rFonts w:cstheme="minorHAnsi"/>
                <w:sz w:val="18"/>
                <w:szCs w:val="18"/>
              </w:rPr>
            </w:pPr>
            <w:r>
              <w:rPr>
                <w:rFonts w:cstheme="minorHAnsi"/>
                <w:sz w:val="18"/>
                <w:szCs w:val="18"/>
              </w:rPr>
              <w:t>EN 1634-3:2004</w:t>
            </w:r>
          </w:p>
        </w:tc>
        <w:tc>
          <w:tcPr>
            <w:tcW w:w="1490" w:type="dxa"/>
            <w:vAlign w:val="center"/>
          </w:tcPr>
          <w:p w14:paraId="125644B6" w14:textId="5D5B7F71" w:rsidR="004E758F" w:rsidRPr="004E758F" w:rsidRDefault="004E758F" w:rsidP="00AE544B">
            <w:pPr>
              <w:autoSpaceDE w:val="0"/>
              <w:autoSpaceDN w:val="0"/>
              <w:adjustRightInd w:val="0"/>
              <w:jc w:val="center"/>
              <w:rPr>
                <w:rFonts w:cstheme="minorHAnsi"/>
                <w:sz w:val="18"/>
                <w:szCs w:val="18"/>
              </w:rPr>
            </w:pPr>
            <w:r>
              <w:rPr>
                <w:rFonts w:cstheme="minorHAnsi"/>
                <w:sz w:val="18"/>
                <w:szCs w:val="18"/>
              </w:rPr>
              <w:t>EN 13501-2:2016</w:t>
            </w:r>
          </w:p>
        </w:tc>
        <w:tc>
          <w:tcPr>
            <w:tcW w:w="921" w:type="dxa"/>
            <w:vAlign w:val="center"/>
          </w:tcPr>
          <w:p w14:paraId="1296A2F5" w14:textId="111A2176" w:rsidR="004E758F" w:rsidRPr="004E758F" w:rsidRDefault="00B74BD0" w:rsidP="00AE544B">
            <w:pPr>
              <w:autoSpaceDE w:val="0"/>
              <w:autoSpaceDN w:val="0"/>
              <w:adjustRightInd w:val="0"/>
              <w:jc w:val="center"/>
              <w:rPr>
                <w:rFonts w:cstheme="minorHAnsi"/>
                <w:sz w:val="18"/>
                <w:szCs w:val="18"/>
              </w:rPr>
            </w:pPr>
            <w:r>
              <w:rPr>
                <w:rFonts w:cstheme="minorHAnsi"/>
                <w:sz w:val="18"/>
                <w:szCs w:val="18"/>
              </w:rPr>
              <w:t>1</w:t>
            </w:r>
          </w:p>
        </w:tc>
      </w:tr>
      <w:tr w:rsidR="00B74BD0" w14:paraId="69653C3E" w14:textId="77777777" w:rsidTr="00B74BD0">
        <w:tc>
          <w:tcPr>
            <w:tcW w:w="2022" w:type="dxa"/>
            <w:vAlign w:val="center"/>
          </w:tcPr>
          <w:p w14:paraId="7DA554BD" w14:textId="0CE65B60" w:rsidR="004E758F" w:rsidRPr="004E758F" w:rsidRDefault="00AE544B" w:rsidP="004E758F">
            <w:pPr>
              <w:autoSpaceDE w:val="0"/>
              <w:autoSpaceDN w:val="0"/>
              <w:adjustRightInd w:val="0"/>
              <w:rPr>
                <w:rFonts w:cstheme="minorHAnsi"/>
                <w:sz w:val="24"/>
                <w:szCs w:val="24"/>
              </w:rPr>
            </w:pPr>
            <w:r>
              <w:rPr>
                <w:rFonts w:cstheme="minorHAnsi"/>
                <w:sz w:val="24"/>
                <w:szCs w:val="24"/>
              </w:rPr>
              <w:t>Ability to release</w:t>
            </w:r>
          </w:p>
        </w:tc>
        <w:tc>
          <w:tcPr>
            <w:tcW w:w="1517" w:type="dxa"/>
            <w:vAlign w:val="center"/>
          </w:tcPr>
          <w:p w14:paraId="4AB0E2C7" w14:textId="07D45164" w:rsidR="004E758F" w:rsidRPr="004E758F" w:rsidRDefault="00AE544B" w:rsidP="00AE544B">
            <w:pPr>
              <w:autoSpaceDE w:val="0"/>
              <w:autoSpaceDN w:val="0"/>
              <w:adjustRightInd w:val="0"/>
              <w:jc w:val="center"/>
              <w:rPr>
                <w:rFonts w:cstheme="minorHAnsi"/>
                <w:sz w:val="18"/>
                <w:szCs w:val="18"/>
              </w:rPr>
            </w:pPr>
            <w:r>
              <w:rPr>
                <w:rFonts w:cstheme="minorHAnsi"/>
                <w:sz w:val="18"/>
                <w:szCs w:val="18"/>
              </w:rPr>
              <w:t>N/A</w:t>
            </w:r>
          </w:p>
        </w:tc>
        <w:tc>
          <w:tcPr>
            <w:tcW w:w="1534" w:type="dxa"/>
            <w:vAlign w:val="center"/>
          </w:tcPr>
          <w:p w14:paraId="7EF8B98A" w14:textId="0738054F" w:rsidR="004E758F" w:rsidRPr="004E758F" w:rsidRDefault="00AE544B" w:rsidP="00AE544B">
            <w:pPr>
              <w:autoSpaceDE w:val="0"/>
              <w:autoSpaceDN w:val="0"/>
              <w:adjustRightInd w:val="0"/>
              <w:jc w:val="center"/>
              <w:rPr>
                <w:rFonts w:cstheme="minorHAnsi"/>
                <w:sz w:val="18"/>
                <w:szCs w:val="18"/>
              </w:rPr>
            </w:pPr>
            <w:r>
              <w:rPr>
                <w:rFonts w:cstheme="minorHAnsi"/>
                <w:sz w:val="18"/>
                <w:szCs w:val="18"/>
              </w:rPr>
              <w:t>N/A</w:t>
            </w:r>
          </w:p>
        </w:tc>
        <w:tc>
          <w:tcPr>
            <w:tcW w:w="1532" w:type="dxa"/>
            <w:vAlign w:val="center"/>
          </w:tcPr>
          <w:p w14:paraId="26F2EDC1" w14:textId="49120D7A" w:rsidR="004E758F" w:rsidRPr="004E758F" w:rsidRDefault="00B870F1" w:rsidP="00AE544B">
            <w:pPr>
              <w:autoSpaceDE w:val="0"/>
              <w:autoSpaceDN w:val="0"/>
              <w:adjustRightInd w:val="0"/>
              <w:jc w:val="center"/>
              <w:rPr>
                <w:rFonts w:cstheme="minorHAnsi"/>
                <w:sz w:val="18"/>
                <w:szCs w:val="18"/>
              </w:rPr>
            </w:pPr>
            <w:r>
              <w:rPr>
                <w:rFonts w:cstheme="minorHAnsi"/>
                <w:sz w:val="18"/>
                <w:szCs w:val="18"/>
              </w:rPr>
              <w:t>N/A</w:t>
            </w:r>
          </w:p>
        </w:tc>
        <w:tc>
          <w:tcPr>
            <w:tcW w:w="1490" w:type="dxa"/>
            <w:vAlign w:val="center"/>
          </w:tcPr>
          <w:p w14:paraId="5097BA16" w14:textId="7DF99965" w:rsidR="004E758F" w:rsidRPr="004E758F" w:rsidRDefault="00B870F1" w:rsidP="00AE544B">
            <w:pPr>
              <w:autoSpaceDE w:val="0"/>
              <w:autoSpaceDN w:val="0"/>
              <w:adjustRightInd w:val="0"/>
              <w:jc w:val="center"/>
              <w:rPr>
                <w:rFonts w:cstheme="minorHAnsi"/>
                <w:sz w:val="18"/>
                <w:szCs w:val="18"/>
              </w:rPr>
            </w:pPr>
            <w:r>
              <w:rPr>
                <w:rFonts w:cstheme="minorHAnsi"/>
                <w:sz w:val="18"/>
                <w:szCs w:val="18"/>
              </w:rPr>
              <w:t>N/A</w:t>
            </w:r>
          </w:p>
        </w:tc>
        <w:tc>
          <w:tcPr>
            <w:tcW w:w="921" w:type="dxa"/>
            <w:vAlign w:val="center"/>
          </w:tcPr>
          <w:p w14:paraId="67CAC7F0" w14:textId="77777777" w:rsidR="004E758F" w:rsidRPr="004E758F" w:rsidRDefault="004E758F" w:rsidP="00AE544B">
            <w:pPr>
              <w:autoSpaceDE w:val="0"/>
              <w:autoSpaceDN w:val="0"/>
              <w:adjustRightInd w:val="0"/>
              <w:jc w:val="center"/>
              <w:rPr>
                <w:rFonts w:cstheme="minorHAnsi"/>
                <w:sz w:val="18"/>
                <w:szCs w:val="18"/>
              </w:rPr>
            </w:pPr>
          </w:p>
        </w:tc>
      </w:tr>
      <w:tr w:rsidR="00B74BD0" w14:paraId="2EC7EBB8" w14:textId="77777777" w:rsidTr="00B74BD0">
        <w:tc>
          <w:tcPr>
            <w:tcW w:w="2022" w:type="dxa"/>
            <w:vAlign w:val="center"/>
          </w:tcPr>
          <w:p w14:paraId="6BC5129A" w14:textId="76907811" w:rsidR="004E758F" w:rsidRPr="004E758F" w:rsidRDefault="00AE544B" w:rsidP="004E758F">
            <w:pPr>
              <w:autoSpaceDE w:val="0"/>
              <w:autoSpaceDN w:val="0"/>
              <w:adjustRightInd w:val="0"/>
              <w:rPr>
                <w:rFonts w:cstheme="minorHAnsi"/>
                <w:sz w:val="24"/>
                <w:szCs w:val="24"/>
              </w:rPr>
            </w:pPr>
            <w:r>
              <w:rPr>
                <w:rFonts w:cstheme="minorHAnsi"/>
                <w:sz w:val="24"/>
                <w:szCs w:val="24"/>
              </w:rPr>
              <w:t>Self-closing</w:t>
            </w:r>
          </w:p>
        </w:tc>
        <w:tc>
          <w:tcPr>
            <w:tcW w:w="1517" w:type="dxa"/>
            <w:vAlign w:val="center"/>
          </w:tcPr>
          <w:p w14:paraId="0267965C" w14:textId="73B7154F" w:rsidR="004E758F" w:rsidRPr="004E758F" w:rsidRDefault="00AE544B" w:rsidP="00AE544B">
            <w:pPr>
              <w:autoSpaceDE w:val="0"/>
              <w:autoSpaceDN w:val="0"/>
              <w:adjustRightInd w:val="0"/>
              <w:jc w:val="center"/>
              <w:rPr>
                <w:rFonts w:cstheme="minorHAnsi"/>
                <w:sz w:val="18"/>
                <w:szCs w:val="18"/>
              </w:rPr>
            </w:pPr>
            <w:r>
              <w:rPr>
                <w:rFonts w:cstheme="minorHAnsi"/>
                <w:sz w:val="18"/>
                <w:szCs w:val="18"/>
              </w:rPr>
              <w:t>N/A</w:t>
            </w:r>
          </w:p>
        </w:tc>
        <w:tc>
          <w:tcPr>
            <w:tcW w:w="1534" w:type="dxa"/>
            <w:vAlign w:val="center"/>
          </w:tcPr>
          <w:p w14:paraId="5AFFF700" w14:textId="15CA5262" w:rsidR="004E758F" w:rsidRPr="004E758F" w:rsidRDefault="00AE544B" w:rsidP="00AE544B">
            <w:pPr>
              <w:autoSpaceDE w:val="0"/>
              <w:autoSpaceDN w:val="0"/>
              <w:adjustRightInd w:val="0"/>
              <w:jc w:val="center"/>
              <w:rPr>
                <w:rFonts w:cstheme="minorHAnsi"/>
                <w:sz w:val="18"/>
                <w:szCs w:val="18"/>
              </w:rPr>
            </w:pPr>
            <w:r>
              <w:rPr>
                <w:rFonts w:cstheme="minorHAnsi"/>
                <w:sz w:val="18"/>
                <w:szCs w:val="18"/>
              </w:rPr>
              <w:t>N/A</w:t>
            </w:r>
          </w:p>
        </w:tc>
        <w:tc>
          <w:tcPr>
            <w:tcW w:w="1532" w:type="dxa"/>
            <w:vAlign w:val="center"/>
          </w:tcPr>
          <w:p w14:paraId="28B3A1F5" w14:textId="2A8A42BB" w:rsidR="004E758F" w:rsidRPr="004E758F" w:rsidRDefault="00B870F1" w:rsidP="00AE544B">
            <w:pPr>
              <w:autoSpaceDE w:val="0"/>
              <w:autoSpaceDN w:val="0"/>
              <w:adjustRightInd w:val="0"/>
              <w:jc w:val="center"/>
              <w:rPr>
                <w:rFonts w:cstheme="minorHAnsi"/>
                <w:sz w:val="18"/>
                <w:szCs w:val="18"/>
              </w:rPr>
            </w:pPr>
            <w:r>
              <w:rPr>
                <w:rFonts w:cstheme="minorHAnsi"/>
                <w:sz w:val="18"/>
                <w:szCs w:val="18"/>
              </w:rPr>
              <w:t>EN 1154</w:t>
            </w:r>
          </w:p>
        </w:tc>
        <w:tc>
          <w:tcPr>
            <w:tcW w:w="1490" w:type="dxa"/>
            <w:vAlign w:val="center"/>
          </w:tcPr>
          <w:p w14:paraId="0E58EE27" w14:textId="3EB25C5D" w:rsidR="004E758F" w:rsidRPr="004E758F" w:rsidRDefault="00B870F1" w:rsidP="00AE544B">
            <w:pPr>
              <w:autoSpaceDE w:val="0"/>
              <w:autoSpaceDN w:val="0"/>
              <w:adjustRightInd w:val="0"/>
              <w:jc w:val="center"/>
              <w:rPr>
                <w:rFonts w:cstheme="minorHAnsi"/>
                <w:sz w:val="18"/>
                <w:szCs w:val="18"/>
              </w:rPr>
            </w:pPr>
            <w:r>
              <w:rPr>
                <w:rFonts w:cstheme="minorHAnsi"/>
                <w:sz w:val="18"/>
                <w:szCs w:val="18"/>
              </w:rPr>
              <w:t>EN 1154</w:t>
            </w:r>
          </w:p>
        </w:tc>
        <w:tc>
          <w:tcPr>
            <w:tcW w:w="921" w:type="dxa"/>
            <w:vAlign w:val="center"/>
          </w:tcPr>
          <w:p w14:paraId="04B4FFD9" w14:textId="5B8E37B9" w:rsidR="004E758F" w:rsidRPr="004E758F" w:rsidRDefault="00B870F1" w:rsidP="00AE544B">
            <w:pPr>
              <w:autoSpaceDE w:val="0"/>
              <w:autoSpaceDN w:val="0"/>
              <w:adjustRightInd w:val="0"/>
              <w:jc w:val="center"/>
              <w:rPr>
                <w:rFonts w:cstheme="minorHAnsi"/>
                <w:sz w:val="18"/>
                <w:szCs w:val="18"/>
              </w:rPr>
            </w:pPr>
            <w:r>
              <w:rPr>
                <w:rFonts w:cstheme="minorHAnsi"/>
                <w:sz w:val="18"/>
                <w:szCs w:val="18"/>
              </w:rPr>
              <w:t>1</w:t>
            </w:r>
          </w:p>
        </w:tc>
      </w:tr>
      <w:tr w:rsidR="00B74BD0" w14:paraId="61EB7A0B" w14:textId="77777777" w:rsidTr="00B74BD0">
        <w:tc>
          <w:tcPr>
            <w:tcW w:w="2022" w:type="dxa"/>
            <w:vAlign w:val="center"/>
          </w:tcPr>
          <w:p w14:paraId="46AABB0C" w14:textId="20F4E5CD" w:rsidR="004E758F" w:rsidRPr="004E758F" w:rsidRDefault="00AE544B" w:rsidP="004E758F">
            <w:pPr>
              <w:autoSpaceDE w:val="0"/>
              <w:autoSpaceDN w:val="0"/>
              <w:adjustRightInd w:val="0"/>
              <w:rPr>
                <w:rFonts w:cstheme="minorHAnsi"/>
                <w:sz w:val="24"/>
                <w:szCs w:val="24"/>
              </w:rPr>
            </w:pPr>
            <w:r>
              <w:rPr>
                <w:rFonts w:cstheme="minorHAnsi"/>
                <w:sz w:val="24"/>
                <w:szCs w:val="24"/>
              </w:rPr>
              <w:t>Durability of ability to release</w:t>
            </w:r>
          </w:p>
        </w:tc>
        <w:tc>
          <w:tcPr>
            <w:tcW w:w="1517" w:type="dxa"/>
            <w:vAlign w:val="center"/>
          </w:tcPr>
          <w:p w14:paraId="1ED6A6F5" w14:textId="26E4AAAB" w:rsidR="004E758F" w:rsidRPr="004E758F" w:rsidRDefault="00AE544B" w:rsidP="00AE544B">
            <w:pPr>
              <w:autoSpaceDE w:val="0"/>
              <w:autoSpaceDN w:val="0"/>
              <w:adjustRightInd w:val="0"/>
              <w:jc w:val="center"/>
              <w:rPr>
                <w:rFonts w:cstheme="minorHAnsi"/>
                <w:sz w:val="18"/>
                <w:szCs w:val="18"/>
              </w:rPr>
            </w:pPr>
            <w:r>
              <w:rPr>
                <w:rFonts w:cstheme="minorHAnsi"/>
                <w:sz w:val="18"/>
                <w:szCs w:val="18"/>
              </w:rPr>
              <w:t>N/A</w:t>
            </w:r>
          </w:p>
        </w:tc>
        <w:tc>
          <w:tcPr>
            <w:tcW w:w="1534" w:type="dxa"/>
            <w:vAlign w:val="center"/>
          </w:tcPr>
          <w:p w14:paraId="2BCFD88D" w14:textId="0AA9A8F8" w:rsidR="004E758F" w:rsidRPr="004E758F" w:rsidRDefault="00AE544B" w:rsidP="00AE544B">
            <w:pPr>
              <w:autoSpaceDE w:val="0"/>
              <w:autoSpaceDN w:val="0"/>
              <w:adjustRightInd w:val="0"/>
              <w:jc w:val="center"/>
              <w:rPr>
                <w:rFonts w:cstheme="minorHAnsi"/>
                <w:sz w:val="18"/>
                <w:szCs w:val="18"/>
              </w:rPr>
            </w:pPr>
            <w:r>
              <w:rPr>
                <w:rFonts w:cstheme="minorHAnsi"/>
                <w:sz w:val="18"/>
                <w:szCs w:val="18"/>
              </w:rPr>
              <w:t>N/A</w:t>
            </w:r>
          </w:p>
        </w:tc>
        <w:tc>
          <w:tcPr>
            <w:tcW w:w="1532" w:type="dxa"/>
            <w:vAlign w:val="center"/>
          </w:tcPr>
          <w:p w14:paraId="5FB36101" w14:textId="3BF454FF" w:rsidR="004E758F" w:rsidRPr="004E758F" w:rsidRDefault="00B870F1" w:rsidP="00AE544B">
            <w:pPr>
              <w:autoSpaceDE w:val="0"/>
              <w:autoSpaceDN w:val="0"/>
              <w:adjustRightInd w:val="0"/>
              <w:jc w:val="center"/>
              <w:rPr>
                <w:rFonts w:cstheme="minorHAnsi"/>
                <w:sz w:val="18"/>
                <w:szCs w:val="18"/>
              </w:rPr>
            </w:pPr>
            <w:r>
              <w:rPr>
                <w:rFonts w:cstheme="minorHAnsi"/>
                <w:sz w:val="18"/>
                <w:szCs w:val="18"/>
              </w:rPr>
              <w:t>N/A</w:t>
            </w:r>
          </w:p>
        </w:tc>
        <w:tc>
          <w:tcPr>
            <w:tcW w:w="1490" w:type="dxa"/>
            <w:vAlign w:val="center"/>
          </w:tcPr>
          <w:p w14:paraId="7F9D3DA6" w14:textId="3B977D37" w:rsidR="004E758F" w:rsidRPr="004E758F" w:rsidRDefault="00B870F1" w:rsidP="00AE544B">
            <w:pPr>
              <w:autoSpaceDE w:val="0"/>
              <w:autoSpaceDN w:val="0"/>
              <w:adjustRightInd w:val="0"/>
              <w:jc w:val="center"/>
              <w:rPr>
                <w:rFonts w:cstheme="minorHAnsi"/>
                <w:sz w:val="18"/>
                <w:szCs w:val="18"/>
              </w:rPr>
            </w:pPr>
            <w:r>
              <w:rPr>
                <w:rFonts w:cstheme="minorHAnsi"/>
                <w:sz w:val="18"/>
                <w:szCs w:val="18"/>
              </w:rPr>
              <w:t>N/A</w:t>
            </w:r>
          </w:p>
        </w:tc>
        <w:tc>
          <w:tcPr>
            <w:tcW w:w="921" w:type="dxa"/>
            <w:vAlign w:val="center"/>
          </w:tcPr>
          <w:p w14:paraId="4E5304C9" w14:textId="77777777" w:rsidR="004E758F" w:rsidRPr="004E758F" w:rsidRDefault="004E758F" w:rsidP="00AE544B">
            <w:pPr>
              <w:autoSpaceDE w:val="0"/>
              <w:autoSpaceDN w:val="0"/>
              <w:adjustRightInd w:val="0"/>
              <w:jc w:val="center"/>
              <w:rPr>
                <w:rFonts w:cstheme="minorHAnsi"/>
                <w:sz w:val="18"/>
                <w:szCs w:val="18"/>
              </w:rPr>
            </w:pPr>
          </w:p>
        </w:tc>
      </w:tr>
      <w:tr w:rsidR="00AE544B" w14:paraId="4ACB9073" w14:textId="77777777" w:rsidTr="00B74BD0">
        <w:tc>
          <w:tcPr>
            <w:tcW w:w="2022" w:type="dxa"/>
            <w:vAlign w:val="center"/>
          </w:tcPr>
          <w:p w14:paraId="40BA0A8E" w14:textId="018F1A26" w:rsidR="00AE544B" w:rsidRPr="00AE544B" w:rsidRDefault="00AE544B" w:rsidP="004E758F">
            <w:pPr>
              <w:autoSpaceDE w:val="0"/>
              <w:autoSpaceDN w:val="0"/>
              <w:adjustRightInd w:val="0"/>
              <w:rPr>
                <w:rFonts w:cstheme="minorHAnsi"/>
                <w:b/>
                <w:bCs/>
                <w:sz w:val="24"/>
                <w:szCs w:val="24"/>
              </w:rPr>
            </w:pPr>
            <w:r w:rsidRPr="00AE544B">
              <w:rPr>
                <w:rFonts w:cstheme="minorHAnsi"/>
                <w:b/>
                <w:bCs/>
                <w:sz w:val="24"/>
                <w:szCs w:val="24"/>
              </w:rPr>
              <w:t>Durability of self-closing</w:t>
            </w:r>
          </w:p>
        </w:tc>
        <w:tc>
          <w:tcPr>
            <w:tcW w:w="1517" w:type="dxa"/>
            <w:vAlign w:val="center"/>
          </w:tcPr>
          <w:p w14:paraId="3C33B3D7" w14:textId="77777777" w:rsidR="00AE544B" w:rsidRPr="004E758F" w:rsidRDefault="00AE544B" w:rsidP="00AE544B">
            <w:pPr>
              <w:autoSpaceDE w:val="0"/>
              <w:autoSpaceDN w:val="0"/>
              <w:adjustRightInd w:val="0"/>
              <w:jc w:val="center"/>
              <w:rPr>
                <w:rFonts w:cstheme="minorHAnsi"/>
                <w:sz w:val="18"/>
                <w:szCs w:val="18"/>
              </w:rPr>
            </w:pPr>
          </w:p>
        </w:tc>
        <w:tc>
          <w:tcPr>
            <w:tcW w:w="1534" w:type="dxa"/>
            <w:vAlign w:val="center"/>
          </w:tcPr>
          <w:p w14:paraId="2687192C" w14:textId="77777777" w:rsidR="00AE544B" w:rsidRPr="004E758F" w:rsidRDefault="00AE544B" w:rsidP="00AE544B">
            <w:pPr>
              <w:autoSpaceDE w:val="0"/>
              <w:autoSpaceDN w:val="0"/>
              <w:adjustRightInd w:val="0"/>
              <w:jc w:val="center"/>
              <w:rPr>
                <w:rFonts w:cstheme="minorHAnsi"/>
                <w:sz w:val="18"/>
                <w:szCs w:val="18"/>
              </w:rPr>
            </w:pPr>
          </w:p>
        </w:tc>
        <w:tc>
          <w:tcPr>
            <w:tcW w:w="1532" w:type="dxa"/>
            <w:vAlign w:val="center"/>
          </w:tcPr>
          <w:p w14:paraId="27DD6D33" w14:textId="77777777" w:rsidR="00AE544B" w:rsidRPr="004E758F" w:rsidRDefault="00AE544B" w:rsidP="00AE544B">
            <w:pPr>
              <w:autoSpaceDE w:val="0"/>
              <w:autoSpaceDN w:val="0"/>
              <w:adjustRightInd w:val="0"/>
              <w:jc w:val="center"/>
              <w:rPr>
                <w:rFonts w:cstheme="minorHAnsi"/>
                <w:sz w:val="18"/>
                <w:szCs w:val="18"/>
              </w:rPr>
            </w:pPr>
          </w:p>
        </w:tc>
        <w:tc>
          <w:tcPr>
            <w:tcW w:w="1490" w:type="dxa"/>
            <w:vAlign w:val="center"/>
          </w:tcPr>
          <w:p w14:paraId="74B30A8D" w14:textId="77777777" w:rsidR="00AE544B" w:rsidRPr="004E758F" w:rsidRDefault="00AE544B" w:rsidP="00AE544B">
            <w:pPr>
              <w:autoSpaceDE w:val="0"/>
              <w:autoSpaceDN w:val="0"/>
              <w:adjustRightInd w:val="0"/>
              <w:jc w:val="center"/>
              <w:rPr>
                <w:rFonts w:cstheme="minorHAnsi"/>
                <w:sz w:val="18"/>
                <w:szCs w:val="18"/>
              </w:rPr>
            </w:pPr>
          </w:p>
        </w:tc>
        <w:tc>
          <w:tcPr>
            <w:tcW w:w="921" w:type="dxa"/>
            <w:vAlign w:val="center"/>
          </w:tcPr>
          <w:p w14:paraId="13A8B8F0" w14:textId="77777777" w:rsidR="00AE544B" w:rsidRPr="004E758F" w:rsidRDefault="00AE544B" w:rsidP="00AE544B">
            <w:pPr>
              <w:autoSpaceDE w:val="0"/>
              <w:autoSpaceDN w:val="0"/>
              <w:adjustRightInd w:val="0"/>
              <w:jc w:val="center"/>
              <w:rPr>
                <w:rFonts w:cstheme="minorHAnsi"/>
                <w:sz w:val="18"/>
                <w:szCs w:val="18"/>
              </w:rPr>
            </w:pPr>
          </w:p>
        </w:tc>
      </w:tr>
      <w:tr w:rsidR="00AE544B" w14:paraId="52DC5C71" w14:textId="77777777" w:rsidTr="00B74BD0">
        <w:tc>
          <w:tcPr>
            <w:tcW w:w="2022" w:type="dxa"/>
            <w:vAlign w:val="center"/>
          </w:tcPr>
          <w:p w14:paraId="7E716DA1" w14:textId="3F1ADDCF" w:rsidR="00AE544B" w:rsidRDefault="00AE544B" w:rsidP="004E758F">
            <w:pPr>
              <w:autoSpaceDE w:val="0"/>
              <w:autoSpaceDN w:val="0"/>
              <w:adjustRightInd w:val="0"/>
              <w:rPr>
                <w:rFonts w:cstheme="minorHAnsi"/>
                <w:sz w:val="24"/>
                <w:szCs w:val="24"/>
              </w:rPr>
            </w:pPr>
            <w:r>
              <w:rPr>
                <w:rFonts w:cstheme="minorHAnsi"/>
                <w:sz w:val="24"/>
                <w:szCs w:val="24"/>
              </w:rPr>
              <w:t>against degradation</w:t>
            </w:r>
          </w:p>
        </w:tc>
        <w:tc>
          <w:tcPr>
            <w:tcW w:w="1517" w:type="dxa"/>
            <w:vAlign w:val="center"/>
          </w:tcPr>
          <w:p w14:paraId="6087C23B" w14:textId="08869F8D" w:rsidR="00AE544B" w:rsidRPr="004E758F" w:rsidRDefault="00B870F1" w:rsidP="00AE544B">
            <w:pPr>
              <w:autoSpaceDE w:val="0"/>
              <w:autoSpaceDN w:val="0"/>
              <w:adjustRightInd w:val="0"/>
              <w:jc w:val="center"/>
              <w:rPr>
                <w:rFonts w:cstheme="minorHAnsi"/>
                <w:sz w:val="18"/>
                <w:szCs w:val="18"/>
              </w:rPr>
            </w:pPr>
            <w:r>
              <w:rPr>
                <w:rFonts w:cstheme="minorHAnsi"/>
                <w:sz w:val="18"/>
                <w:szCs w:val="18"/>
              </w:rPr>
              <w:t>N/A</w:t>
            </w:r>
          </w:p>
        </w:tc>
        <w:tc>
          <w:tcPr>
            <w:tcW w:w="1534" w:type="dxa"/>
            <w:vAlign w:val="center"/>
          </w:tcPr>
          <w:p w14:paraId="53333E4E" w14:textId="7E4AE9BD" w:rsidR="00AE544B" w:rsidRPr="004E758F" w:rsidRDefault="00B870F1" w:rsidP="00AE544B">
            <w:pPr>
              <w:autoSpaceDE w:val="0"/>
              <w:autoSpaceDN w:val="0"/>
              <w:adjustRightInd w:val="0"/>
              <w:jc w:val="center"/>
              <w:rPr>
                <w:rFonts w:cstheme="minorHAnsi"/>
                <w:sz w:val="18"/>
                <w:szCs w:val="18"/>
              </w:rPr>
            </w:pPr>
            <w:r>
              <w:rPr>
                <w:rFonts w:cstheme="minorHAnsi"/>
                <w:sz w:val="18"/>
                <w:szCs w:val="18"/>
              </w:rPr>
              <w:t>N/A</w:t>
            </w:r>
          </w:p>
        </w:tc>
        <w:tc>
          <w:tcPr>
            <w:tcW w:w="1532" w:type="dxa"/>
            <w:vAlign w:val="center"/>
          </w:tcPr>
          <w:p w14:paraId="6FEA0D40" w14:textId="48AD77DB" w:rsidR="00AE544B" w:rsidRPr="004E758F" w:rsidRDefault="00AE544B" w:rsidP="00AE544B">
            <w:pPr>
              <w:autoSpaceDE w:val="0"/>
              <w:autoSpaceDN w:val="0"/>
              <w:adjustRightInd w:val="0"/>
              <w:jc w:val="center"/>
              <w:rPr>
                <w:rFonts w:cstheme="minorHAnsi"/>
                <w:sz w:val="18"/>
                <w:szCs w:val="18"/>
              </w:rPr>
            </w:pPr>
            <w:r>
              <w:rPr>
                <w:rFonts w:cstheme="minorHAnsi"/>
                <w:sz w:val="18"/>
                <w:szCs w:val="18"/>
              </w:rPr>
              <w:t>EN 1191</w:t>
            </w:r>
          </w:p>
        </w:tc>
        <w:tc>
          <w:tcPr>
            <w:tcW w:w="1490" w:type="dxa"/>
            <w:vAlign w:val="center"/>
          </w:tcPr>
          <w:p w14:paraId="010B4511" w14:textId="2AF140EF" w:rsidR="00AE544B" w:rsidRPr="004E758F" w:rsidRDefault="00AE544B" w:rsidP="00AE544B">
            <w:pPr>
              <w:autoSpaceDE w:val="0"/>
              <w:autoSpaceDN w:val="0"/>
              <w:adjustRightInd w:val="0"/>
              <w:jc w:val="center"/>
              <w:rPr>
                <w:rFonts w:cstheme="minorHAnsi"/>
                <w:sz w:val="18"/>
                <w:szCs w:val="18"/>
              </w:rPr>
            </w:pPr>
            <w:r>
              <w:rPr>
                <w:rFonts w:cstheme="minorHAnsi"/>
                <w:sz w:val="18"/>
                <w:szCs w:val="18"/>
              </w:rPr>
              <w:t>N/A</w:t>
            </w:r>
          </w:p>
        </w:tc>
        <w:tc>
          <w:tcPr>
            <w:tcW w:w="921" w:type="dxa"/>
            <w:vAlign w:val="center"/>
          </w:tcPr>
          <w:p w14:paraId="2865578C" w14:textId="14D096FB" w:rsidR="00AE544B" w:rsidRPr="004E758F" w:rsidRDefault="00B870F1" w:rsidP="00AE544B">
            <w:pPr>
              <w:autoSpaceDE w:val="0"/>
              <w:autoSpaceDN w:val="0"/>
              <w:adjustRightInd w:val="0"/>
              <w:jc w:val="center"/>
              <w:rPr>
                <w:rFonts w:cstheme="minorHAnsi"/>
                <w:sz w:val="18"/>
                <w:szCs w:val="18"/>
              </w:rPr>
            </w:pPr>
            <w:r>
              <w:rPr>
                <w:rFonts w:cstheme="minorHAnsi"/>
                <w:sz w:val="18"/>
                <w:szCs w:val="18"/>
              </w:rPr>
              <w:t>1</w:t>
            </w:r>
          </w:p>
        </w:tc>
      </w:tr>
      <w:tr w:rsidR="00AE544B" w14:paraId="17B73F35" w14:textId="77777777" w:rsidTr="00B74BD0">
        <w:tc>
          <w:tcPr>
            <w:tcW w:w="2022" w:type="dxa"/>
            <w:vAlign w:val="center"/>
          </w:tcPr>
          <w:p w14:paraId="7344C6A1" w14:textId="41E892D7" w:rsidR="00AE544B" w:rsidRDefault="00AE544B" w:rsidP="004E758F">
            <w:pPr>
              <w:autoSpaceDE w:val="0"/>
              <w:autoSpaceDN w:val="0"/>
              <w:adjustRightInd w:val="0"/>
              <w:rPr>
                <w:rFonts w:cstheme="minorHAnsi"/>
                <w:sz w:val="24"/>
                <w:szCs w:val="24"/>
              </w:rPr>
            </w:pPr>
            <w:r>
              <w:rPr>
                <w:rFonts w:cstheme="minorHAnsi"/>
                <w:sz w:val="24"/>
                <w:szCs w:val="24"/>
              </w:rPr>
              <w:t>against ageing</w:t>
            </w:r>
          </w:p>
        </w:tc>
        <w:tc>
          <w:tcPr>
            <w:tcW w:w="1517" w:type="dxa"/>
            <w:vAlign w:val="center"/>
          </w:tcPr>
          <w:p w14:paraId="3085046D" w14:textId="7025D1DB" w:rsidR="00AE544B" w:rsidRPr="004E758F" w:rsidRDefault="00B870F1" w:rsidP="00AE544B">
            <w:pPr>
              <w:autoSpaceDE w:val="0"/>
              <w:autoSpaceDN w:val="0"/>
              <w:adjustRightInd w:val="0"/>
              <w:jc w:val="center"/>
              <w:rPr>
                <w:rFonts w:cstheme="minorHAnsi"/>
                <w:sz w:val="18"/>
                <w:szCs w:val="18"/>
              </w:rPr>
            </w:pPr>
            <w:r>
              <w:rPr>
                <w:rFonts w:cstheme="minorHAnsi"/>
                <w:sz w:val="18"/>
                <w:szCs w:val="18"/>
              </w:rPr>
              <w:t>N/A</w:t>
            </w:r>
          </w:p>
        </w:tc>
        <w:tc>
          <w:tcPr>
            <w:tcW w:w="1534" w:type="dxa"/>
            <w:vAlign w:val="center"/>
          </w:tcPr>
          <w:p w14:paraId="7A079FD6" w14:textId="505E9EFC" w:rsidR="00AE544B" w:rsidRPr="004E758F" w:rsidRDefault="00B870F1" w:rsidP="00AE544B">
            <w:pPr>
              <w:autoSpaceDE w:val="0"/>
              <w:autoSpaceDN w:val="0"/>
              <w:adjustRightInd w:val="0"/>
              <w:jc w:val="center"/>
              <w:rPr>
                <w:rFonts w:cstheme="minorHAnsi"/>
                <w:sz w:val="18"/>
                <w:szCs w:val="18"/>
              </w:rPr>
            </w:pPr>
            <w:r>
              <w:rPr>
                <w:rFonts w:cstheme="minorHAnsi"/>
                <w:sz w:val="18"/>
                <w:szCs w:val="18"/>
              </w:rPr>
              <w:t>N/A</w:t>
            </w:r>
          </w:p>
        </w:tc>
        <w:tc>
          <w:tcPr>
            <w:tcW w:w="1532" w:type="dxa"/>
            <w:vAlign w:val="center"/>
          </w:tcPr>
          <w:p w14:paraId="118BD792" w14:textId="084B337C" w:rsidR="00AE544B" w:rsidRPr="004E758F" w:rsidRDefault="00AE544B" w:rsidP="00AE544B">
            <w:pPr>
              <w:autoSpaceDE w:val="0"/>
              <w:autoSpaceDN w:val="0"/>
              <w:adjustRightInd w:val="0"/>
              <w:jc w:val="center"/>
              <w:rPr>
                <w:rFonts w:cstheme="minorHAnsi"/>
                <w:sz w:val="18"/>
                <w:szCs w:val="18"/>
              </w:rPr>
            </w:pPr>
            <w:r>
              <w:rPr>
                <w:rFonts w:cstheme="minorHAnsi"/>
                <w:sz w:val="18"/>
                <w:szCs w:val="18"/>
              </w:rPr>
              <w:t>EN 1670</w:t>
            </w:r>
          </w:p>
        </w:tc>
        <w:tc>
          <w:tcPr>
            <w:tcW w:w="1490" w:type="dxa"/>
            <w:vAlign w:val="center"/>
          </w:tcPr>
          <w:p w14:paraId="3CD9B536" w14:textId="6E67E924" w:rsidR="00AE544B" w:rsidRPr="004E758F" w:rsidRDefault="00AE544B" w:rsidP="00AE544B">
            <w:pPr>
              <w:autoSpaceDE w:val="0"/>
              <w:autoSpaceDN w:val="0"/>
              <w:adjustRightInd w:val="0"/>
              <w:jc w:val="center"/>
              <w:rPr>
                <w:rFonts w:cstheme="minorHAnsi"/>
                <w:sz w:val="18"/>
                <w:szCs w:val="18"/>
              </w:rPr>
            </w:pPr>
            <w:r>
              <w:rPr>
                <w:rFonts w:cstheme="minorHAnsi"/>
                <w:sz w:val="18"/>
                <w:szCs w:val="18"/>
              </w:rPr>
              <w:t>N/A</w:t>
            </w:r>
          </w:p>
        </w:tc>
        <w:tc>
          <w:tcPr>
            <w:tcW w:w="921" w:type="dxa"/>
            <w:vAlign w:val="center"/>
          </w:tcPr>
          <w:p w14:paraId="0709A2CD" w14:textId="33DCA60F" w:rsidR="00AE544B" w:rsidRPr="004E758F" w:rsidRDefault="00B870F1" w:rsidP="00AE544B">
            <w:pPr>
              <w:autoSpaceDE w:val="0"/>
              <w:autoSpaceDN w:val="0"/>
              <w:adjustRightInd w:val="0"/>
              <w:jc w:val="center"/>
              <w:rPr>
                <w:rFonts w:cstheme="minorHAnsi"/>
                <w:sz w:val="18"/>
                <w:szCs w:val="18"/>
              </w:rPr>
            </w:pPr>
            <w:r>
              <w:rPr>
                <w:rFonts w:cstheme="minorHAnsi"/>
                <w:sz w:val="18"/>
                <w:szCs w:val="18"/>
              </w:rPr>
              <w:t>1</w:t>
            </w:r>
          </w:p>
        </w:tc>
      </w:tr>
    </w:tbl>
    <w:p w14:paraId="0144ED03" w14:textId="77777777" w:rsidR="00121E1B" w:rsidRDefault="00121E1B" w:rsidP="00451122">
      <w:pPr>
        <w:autoSpaceDE w:val="0"/>
        <w:autoSpaceDN w:val="0"/>
        <w:adjustRightInd w:val="0"/>
        <w:spacing w:line="240" w:lineRule="auto"/>
        <w:rPr>
          <w:rFonts w:cstheme="minorHAnsi"/>
          <w:sz w:val="28"/>
          <w:szCs w:val="28"/>
        </w:rPr>
      </w:pPr>
    </w:p>
    <w:p w14:paraId="50FEDDCE" w14:textId="1914BD84" w:rsidR="00572054" w:rsidRDefault="00572054" w:rsidP="00451122">
      <w:pPr>
        <w:autoSpaceDE w:val="0"/>
        <w:autoSpaceDN w:val="0"/>
        <w:adjustRightInd w:val="0"/>
        <w:spacing w:line="240" w:lineRule="auto"/>
        <w:rPr>
          <w:rFonts w:cstheme="minorHAnsi"/>
          <w:sz w:val="28"/>
          <w:szCs w:val="28"/>
        </w:rPr>
      </w:pPr>
      <w:r>
        <w:rPr>
          <w:rFonts w:cstheme="minorHAnsi"/>
          <w:sz w:val="28"/>
          <w:szCs w:val="28"/>
        </w:rPr>
        <w:t>It must be noted that all external fire-resisting doorsets, according to E</w:t>
      </w:r>
      <w:r w:rsidR="00B93DD4">
        <w:rPr>
          <w:rFonts w:cstheme="minorHAnsi"/>
          <w:sz w:val="28"/>
          <w:szCs w:val="28"/>
        </w:rPr>
        <w:t>N</w:t>
      </w:r>
      <w:r>
        <w:rPr>
          <w:rFonts w:cstheme="minorHAnsi"/>
          <w:sz w:val="28"/>
          <w:szCs w:val="28"/>
        </w:rPr>
        <w:t xml:space="preserve"> 16034:2014</w:t>
      </w:r>
      <w:r w:rsidR="00B93DD4">
        <w:rPr>
          <w:rFonts w:cstheme="minorHAnsi"/>
          <w:sz w:val="28"/>
          <w:szCs w:val="28"/>
        </w:rPr>
        <w:t xml:space="preserve">, have an Attestation and Verification of Constancy of Performance (AVCP) level of System 1. AVCP System 1 requires </w:t>
      </w:r>
      <w:r w:rsidR="00CD439C">
        <w:rPr>
          <w:rFonts w:cstheme="minorHAnsi"/>
          <w:sz w:val="28"/>
          <w:szCs w:val="28"/>
        </w:rPr>
        <w:t>the</w:t>
      </w:r>
      <w:r w:rsidR="00B93DD4">
        <w:rPr>
          <w:rFonts w:cstheme="minorHAnsi"/>
          <w:sz w:val="28"/>
          <w:szCs w:val="28"/>
        </w:rPr>
        <w:t xml:space="preserve"> Essential Characteristics (ECs) to be tested to the appropriate European Standard shown in Annex ZA of EN 16034 by a Notified </w:t>
      </w:r>
      <w:r w:rsidR="009C12CE">
        <w:rPr>
          <w:rFonts w:cstheme="minorHAnsi"/>
          <w:sz w:val="28"/>
          <w:szCs w:val="28"/>
        </w:rPr>
        <w:t>Body (NB)</w:t>
      </w:r>
      <w:r w:rsidR="00AC73B9">
        <w:rPr>
          <w:rStyle w:val="FootnoteReference"/>
          <w:rFonts w:cstheme="minorHAnsi"/>
          <w:sz w:val="28"/>
          <w:szCs w:val="28"/>
        </w:rPr>
        <w:footnoteReference w:id="4"/>
      </w:r>
      <w:r w:rsidR="009C12CE">
        <w:rPr>
          <w:rFonts w:cstheme="minorHAnsi"/>
          <w:sz w:val="28"/>
          <w:szCs w:val="28"/>
        </w:rPr>
        <w:t xml:space="preserve"> or Approved </w:t>
      </w:r>
      <w:r w:rsidR="00B93DD4">
        <w:rPr>
          <w:rFonts w:cstheme="minorHAnsi"/>
          <w:sz w:val="28"/>
          <w:szCs w:val="28"/>
        </w:rPr>
        <w:t>Body (</w:t>
      </w:r>
      <w:r w:rsidR="00AC73B9">
        <w:rPr>
          <w:rFonts w:cstheme="minorHAnsi"/>
          <w:sz w:val="28"/>
          <w:szCs w:val="28"/>
        </w:rPr>
        <w:t>A</w:t>
      </w:r>
      <w:r w:rsidR="00B93DD4">
        <w:rPr>
          <w:rFonts w:cstheme="minorHAnsi"/>
          <w:sz w:val="28"/>
          <w:szCs w:val="28"/>
        </w:rPr>
        <w:t>B)</w:t>
      </w:r>
      <w:r w:rsidR="00AC73B9">
        <w:rPr>
          <w:rStyle w:val="FootnoteReference"/>
          <w:rFonts w:cstheme="minorHAnsi"/>
          <w:sz w:val="28"/>
          <w:szCs w:val="28"/>
        </w:rPr>
        <w:footnoteReference w:id="5"/>
      </w:r>
      <w:r w:rsidR="007C33D7">
        <w:rPr>
          <w:rFonts w:cstheme="minorHAnsi"/>
          <w:sz w:val="28"/>
          <w:szCs w:val="28"/>
        </w:rPr>
        <w:t xml:space="preserve"> and those products with one or more EC designated as AVCP System 1 in Annex ZA, must be certified by a Notified Product Certification Body</w:t>
      </w:r>
      <w:r w:rsidR="00AC73B9">
        <w:rPr>
          <w:rFonts w:cstheme="minorHAnsi"/>
          <w:sz w:val="28"/>
          <w:szCs w:val="28"/>
        </w:rPr>
        <w:t xml:space="preserve"> in Europe or an Approved Body in the UK</w:t>
      </w:r>
      <w:r w:rsidR="007C33D7">
        <w:rPr>
          <w:rFonts w:cstheme="minorHAnsi"/>
          <w:sz w:val="28"/>
          <w:szCs w:val="28"/>
        </w:rPr>
        <w:t>.</w:t>
      </w:r>
      <w:r w:rsidR="00CD439C">
        <w:rPr>
          <w:rFonts w:cstheme="minorHAnsi"/>
          <w:sz w:val="28"/>
          <w:szCs w:val="28"/>
        </w:rPr>
        <w:t xml:space="preserve"> It should be noted that certification in compliance with the requirements of the CPR AVCP System 1 is not the same as the certification schemes being introduced for composite doorsets in the UK</w:t>
      </w:r>
      <w:r w:rsidR="009944F6">
        <w:rPr>
          <w:rFonts w:cstheme="minorHAnsi"/>
          <w:sz w:val="28"/>
          <w:szCs w:val="28"/>
        </w:rPr>
        <w:t>, the UK schemes are far more onerous than that required by CPR AVCP System 1.</w:t>
      </w:r>
      <w:r w:rsidR="00CD439C">
        <w:rPr>
          <w:rFonts w:cstheme="minorHAnsi"/>
          <w:sz w:val="28"/>
          <w:szCs w:val="28"/>
        </w:rPr>
        <w:t xml:space="preserve"> </w:t>
      </w:r>
    </w:p>
    <w:p w14:paraId="2A0FDD72" w14:textId="5F56AA71" w:rsidR="00CD439C" w:rsidRDefault="00CD439C" w:rsidP="00451122">
      <w:pPr>
        <w:autoSpaceDE w:val="0"/>
        <w:autoSpaceDN w:val="0"/>
        <w:adjustRightInd w:val="0"/>
        <w:spacing w:line="240" w:lineRule="auto"/>
        <w:rPr>
          <w:rFonts w:cstheme="minorHAnsi"/>
          <w:sz w:val="28"/>
          <w:szCs w:val="28"/>
        </w:rPr>
      </w:pPr>
      <w:bookmarkStart w:id="0" w:name="_Hlk48041787"/>
      <w:r>
        <w:rPr>
          <w:rFonts w:cstheme="minorHAnsi"/>
          <w:sz w:val="28"/>
          <w:szCs w:val="28"/>
        </w:rPr>
        <w:t>Following testing of a doorset to the relevant British Standards BS 476-22 and BS 476-31.1, the classification of the doorsets is determined directly from the results obtained</w:t>
      </w:r>
      <w:r w:rsidR="009A1BF6">
        <w:rPr>
          <w:rFonts w:cstheme="minorHAnsi"/>
          <w:sz w:val="28"/>
          <w:szCs w:val="28"/>
        </w:rPr>
        <w:t xml:space="preserve"> without reference to a separate classification standard. </w:t>
      </w:r>
      <w:bookmarkEnd w:id="0"/>
      <w:r w:rsidR="009A1BF6">
        <w:rPr>
          <w:rFonts w:cstheme="minorHAnsi"/>
          <w:sz w:val="28"/>
          <w:szCs w:val="28"/>
        </w:rPr>
        <w:t>Classifications take the form of:</w:t>
      </w:r>
    </w:p>
    <w:p w14:paraId="1AD59C80" w14:textId="6F8831CD" w:rsidR="009A1BF6" w:rsidRDefault="009A1BF6" w:rsidP="00451122">
      <w:pPr>
        <w:autoSpaceDE w:val="0"/>
        <w:autoSpaceDN w:val="0"/>
        <w:adjustRightInd w:val="0"/>
        <w:spacing w:line="240" w:lineRule="auto"/>
        <w:rPr>
          <w:rFonts w:cstheme="minorHAnsi"/>
          <w:sz w:val="28"/>
          <w:szCs w:val="28"/>
        </w:rPr>
      </w:pPr>
      <w:r>
        <w:rPr>
          <w:rFonts w:cstheme="minorHAnsi"/>
          <w:sz w:val="28"/>
          <w:szCs w:val="28"/>
        </w:rPr>
        <w:tab/>
        <w:t xml:space="preserve">FD (minutes e.g. 30, 60, etc,) </w:t>
      </w:r>
      <w:r w:rsidR="00C01066">
        <w:rPr>
          <w:rFonts w:cstheme="minorHAnsi"/>
          <w:sz w:val="28"/>
          <w:szCs w:val="28"/>
        </w:rPr>
        <w:t xml:space="preserve">– e.g. FD 30 </w:t>
      </w:r>
      <w:r w:rsidR="009944F6">
        <w:rPr>
          <w:rFonts w:cstheme="minorHAnsi"/>
          <w:sz w:val="28"/>
          <w:szCs w:val="28"/>
        </w:rPr>
        <w:t>and if smoke control is required by the addition of S, e.g. FD 30 S</w:t>
      </w:r>
    </w:p>
    <w:p w14:paraId="536B7479" w14:textId="7CBA2DB6" w:rsidR="00AF440C" w:rsidRDefault="00C01066" w:rsidP="00451122">
      <w:pPr>
        <w:autoSpaceDE w:val="0"/>
        <w:autoSpaceDN w:val="0"/>
        <w:adjustRightInd w:val="0"/>
        <w:spacing w:line="240" w:lineRule="auto"/>
        <w:rPr>
          <w:rFonts w:cstheme="minorHAnsi"/>
          <w:sz w:val="28"/>
          <w:szCs w:val="28"/>
        </w:rPr>
      </w:pPr>
      <w:r>
        <w:rPr>
          <w:rFonts w:cstheme="minorHAnsi"/>
          <w:sz w:val="28"/>
          <w:szCs w:val="28"/>
        </w:rPr>
        <w:t xml:space="preserve">Following testing of a doorset to the relevant European Standards EN 1634-1 and EN 1634-3, the classification of the doorsets is determined by reference to </w:t>
      </w:r>
      <w:r w:rsidRPr="00C01066">
        <w:rPr>
          <w:rFonts w:cstheme="minorHAnsi"/>
          <w:i/>
          <w:iCs/>
          <w:sz w:val="28"/>
          <w:szCs w:val="28"/>
        </w:rPr>
        <w:t xml:space="preserve">EN 13501-2:2016 – Fire classification of construction products and building elements – Part 2: Classification using data from fire resistance tests, excluding </w:t>
      </w:r>
      <w:r w:rsidRPr="00C01066">
        <w:rPr>
          <w:rFonts w:cstheme="minorHAnsi"/>
          <w:i/>
          <w:iCs/>
          <w:sz w:val="28"/>
          <w:szCs w:val="28"/>
        </w:rPr>
        <w:lastRenderedPageBreak/>
        <w:t>ventilation service</w:t>
      </w:r>
      <w:r>
        <w:rPr>
          <w:rFonts w:cstheme="minorHAnsi"/>
          <w:sz w:val="28"/>
          <w:szCs w:val="28"/>
        </w:rPr>
        <w:t xml:space="preserve">. The classification of fire-resistant doorsets </w:t>
      </w:r>
      <w:r w:rsidR="00AF440C">
        <w:rPr>
          <w:rFonts w:cstheme="minorHAnsi"/>
          <w:sz w:val="28"/>
          <w:szCs w:val="28"/>
        </w:rPr>
        <w:t>may</w:t>
      </w:r>
      <w:r w:rsidR="00AC73B9">
        <w:rPr>
          <w:rFonts w:cstheme="minorHAnsi"/>
          <w:sz w:val="28"/>
          <w:szCs w:val="28"/>
        </w:rPr>
        <w:t xml:space="preserve"> be</w:t>
      </w:r>
      <w:r>
        <w:rPr>
          <w:rFonts w:cstheme="minorHAnsi"/>
          <w:sz w:val="28"/>
          <w:szCs w:val="28"/>
        </w:rPr>
        <w:t xml:space="preserve"> based on </w:t>
      </w:r>
      <w:r w:rsidR="0081078E">
        <w:rPr>
          <w:rFonts w:cstheme="minorHAnsi"/>
          <w:sz w:val="28"/>
          <w:szCs w:val="28"/>
        </w:rPr>
        <w:t>three</w:t>
      </w:r>
      <w:r>
        <w:rPr>
          <w:rFonts w:cstheme="minorHAnsi"/>
          <w:sz w:val="28"/>
          <w:szCs w:val="28"/>
        </w:rPr>
        <w:t xml:space="preserve"> types of </w:t>
      </w:r>
      <w:r w:rsidR="00AF440C">
        <w:rPr>
          <w:rFonts w:cstheme="minorHAnsi"/>
          <w:sz w:val="28"/>
          <w:szCs w:val="28"/>
        </w:rPr>
        <w:t>performance:</w:t>
      </w:r>
    </w:p>
    <w:p w14:paraId="6773E6B8" w14:textId="2E7359E5" w:rsidR="00C01066" w:rsidRDefault="00AF440C" w:rsidP="00AF440C">
      <w:pPr>
        <w:pStyle w:val="ListParagraph"/>
        <w:numPr>
          <w:ilvl w:val="0"/>
          <w:numId w:val="1"/>
        </w:numPr>
        <w:autoSpaceDE w:val="0"/>
        <w:autoSpaceDN w:val="0"/>
        <w:adjustRightInd w:val="0"/>
        <w:spacing w:line="240" w:lineRule="auto"/>
        <w:rPr>
          <w:rFonts w:cstheme="minorHAnsi"/>
          <w:sz w:val="28"/>
          <w:szCs w:val="28"/>
        </w:rPr>
      </w:pPr>
      <w:r w:rsidRPr="00AF440C">
        <w:rPr>
          <w:rFonts w:cstheme="minorHAnsi"/>
          <w:sz w:val="28"/>
          <w:szCs w:val="28"/>
        </w:rPr>
        <w:t xml:space="preserve">‘E’ – Integrity </w:t>
      </w:r>
      <w:r>
        <w:rPr>
          <w:rFonts w:cstheme="minorHAnsi"/>
          <w:sz w:val="28"/>
          <w:szCs w:val="28"/>
        </w:rPr>
        <w:t>– The ability of the doorset to withstand exposure</w:t>
      </w:r>
      <w:r w:rsidR="00AC73B9">
        <w:rPr>
          <w:rFonts w:cstheme="minorHAnsi"/>
          <w:sz w:val="28"/>
          <w:szCs w:val="28"/>
        </w:rPr>
        <w:t xml:space="preserve"> to fire</w:t>
      </w:r>
      <w:r>
        <w:rPr>
          <w:rFonts w:cstheme="minorHAnsi"/>
          <w:sz w:val="28"/>
          <w:szCs w:val="28"/>
        </w:rPr>
        <w:t xml:space="preserve"> without transmission of fire to the unexposed side as a result of passage of fire or hot gases.</w:t>
      </w:r>
      <w:r w:rsidR="0081078E">
        <w:rPr>
          <w:rFonts w:cstheme="minorHAnsi"/>
          <w:sz w:val="28"/>
          <w:szCs w:val="28"/>
        </w:rPr>
        <w:t xml:space="preserve"> Integrity only classifications take the form of ‘E XX’.</w:t>
      </w:r>
    </w:p>
    <w:p w14:paraId="587A969C" w14:textId="35947552" w:rsidR="00AF440C" w:rsidRDefault="00AF440C" w:rsidP="00AF440C">
      <w:pPr>
        <w:pStyle w:val="ListParagraph"/>
        <w:numPr>
          <w:ilvl w:val="0"/>
          <w:numId w:val="1"/>
        </w:numPr>
        <w:autoSpaceDE w:val="0"/>
        <w:autoSpaceDN w:val="0"/>
        <w:adjustRightInd w:val="0"/>
        <w:spacing w:line="240" w:lineRule="auto"/>
        <w:rPr>
          <w:rFonts w:cstheme="minorHAnsi"/>
          <w:sz w:val="28"/>
          <w:szCs w:val="28"/>
        </w:rPr>
      </w:pPr>
      <w:r>
        <w:rPr>
          <w:rFonts w:cstheme="minorHAnsi"/>
          <w:sz w:val="28"/>
          <w:szCs w:val="28"/>
        </w:rPr>
        <w:t>‘I’ – Thermal insulation – The mean temperature rise on the unexposed face of the door leaf shall be limited to 140°C above the initial mean temperature, the maximum temperature rise at any point of the door leaf limited to 180°C.</w:t>
      </w:r>
    </w:p>
    <w:p w14:paraId="1B659E09" w14:textId="6422BB0E" w:rsidR="00113378" w:rsidRDefault="00113378" w:rsidP="00113378">
      <w:pPr>
        <w:pStyle w:val="ListParagraph"/>
        <w:numPr>
          <w:ilvl w:val="1"/>
          <w:numId w:val="1"/>
        </w:numPr>
        <w:autoSpaceDE w:val="0"/>
        <w:autoSpaceDN w:val="0"/>
        <w:adjustRightInd w:val="0"/>
        <w:spacing w:line="240" w:lineRule="auto"/>
        <w:rPr>
          <w:rFonts w:cstheme="minorHAnsi"/>
          <w:sz w:val="28"/>
          <w:szCs w:val="28"/>
        </w:rPr>
      </w:pPr>
      <w:r>
        <w:rPr>
          <w:rFonts w:cstheme="minorHAnsi"/>
          <w:sz w:val="28"/>
          <w:szCs w:val="28"/>
        </w:rPr>
        <w:t>There are two options of thermal insulation of doorsets that shall be used:</w:t>
      </w:r>
    </w:p>
    <w:p w14:paraId="0D0DD451" w14:textId="3B362D40" w:rsidR="00113378" w:rsidRDefault="00113378" w:rsidP="00E26B8B">
      <w:pPr>
        <w:pStyle w:val="ListParagraph"/>
        <w:numPr>
          <w:ilvl w:val="2"/>
          <w:numId w:val="1"/>
        </w:numPr>
        <w:autoSpaceDE w:val="0"/>
        <w:autoSpaceDN w:val="0"/>
        <w:adjustRightInd w:val="0"/>
        <w:spacing w:line="240" w:lineRule="auto"/>
        <w:rPr>
          <w:rFonts w:cstheme="minorHAnsi"/>
          <w:sz w:val="28"/>
          <w:szCs w:val="28"/>
        </w:rPr>
      </w:pPr>
      <w:r>
        <w:rPr>
          <w:rFonts w:cstheme="minorHAnsi"/>
          <w:sz w:val="28"/>
          <w:szCs w:val="28"/>
        </w:rPr>
        <w:t>‘I</w:t>
      </w:r>
      <w:r>
        <w:rPr>
          <w:rFonts w:cstheme="minorHAnsi"/>
          <w:sz w:val="28"/>
          <w:szCs w:val="28"/>
          <w:vertAlign w:val="subscript"/>
        </w:rPr>
        <w:t>1</w:t>
      </w:r>
      <w:r>
        <w:rPr>
          <w:rFonts w:cstheme="minorHAnsi"/>
          <w:sz w:val="28"/>
          <w:szCs w:val="28"/>
        </w:rPr>
        <w:t xml:space="preserve">’ – </w:t>
      </w:r>
      <w:bookmarkStart w:id="1" w:name="_Hlk48051520"/>
      <w:r>
        <w:rPr>
          <w:rFonts w:cstheme="minorHAnsi"/>
          <w:sz w:val="28"/>
          <w:szCs w:val="28"/>
        </w:rPr>
        <w:t xml:space="preserve">In addition to the basic requirement above, no temperature measurements shall be taken into account on the door leaf within </w:t>
      </w:r>
      <w:r w:rsidR="00E26B8B">
        <w:rPr>
          <w:rFonts w:cstheme="minorHAnsi"/>
          <w:sz w:val="28"/>
          <w:szCs w:val="28"/>
        </w:rPr>
        <w:t>25</w:t>
      </w:r>
      <w:r>
        <w:rPr>
          <w:rFonts w:cstheme="minorHAnsi"/>
          <w:sz w:val="28"/>
          <w:szCs w:val="28"/>
        </w:rPr>
        <w:t xml:space="preserve">mm from the border line of the visible part of the door leaf. The temperature </w:t>
      </w:r>
      <w:r w:rsidR="00E26B8B">
        <w:rPr>
          <w:rFonts w:cstheme="minorHAnsi"/>
          <w:sz w:val="28"/>
          <w:szCs w:val="28"/>
        </w:rPr>
        <w:t xml:space="preserve">rise </w:t>
      </w:r>
      <w:r>
        <w:rPr>
          <w:rFonts w:cstheme="minorHAnsi"/>
          <w:sz w:val="28"/>
          <w:szCs w:val="28"/>
        </w:rPr>
        <w:t xml:space="preserve">of any point on the frame shall be limited to </w:t>
      </w:r>
      <w:r w:rsidR="00E26B8B">
        <w:rPr>
          <w:rFonts w:cstheme="minorHAnsi"/>
          <w:sz w:val="28"/>
          <w:szCs w:val="28"/>
        </w:rPr>
        <w:t>180</w:t>
      </w:r>
      <w:r>
        <w:rPr>
          <w:rFonts w:cstheme="minorHAnsi"/>
          <w:sz w:val="28"/>
          <w:szCs w:val="28"/>
        </w:rPr>
        <w:t>°C, measured at 100mm from the visible edge (on the unexposed face) of the door leaf, if the frame is wider than 100mm, otherwise it shall be measured</w:t>
      </w:r>
      <w:r w:rsidR="00E26B8B">
        <w:rPr>
          <w:rFonts w:cstheme="minorHAnsi"/>
          <w:sz w:val="28"/>
          <w:szCs w:val="28"/>
        </w:rPr>
        <w:t xml:space="preserve"> with the centre of the disc 20</w:t>
      </w:r>
      <w:r w:rsidR="00DC2962">
        <w:rPr>
          <w:rFonts w:cstheme="minorHAnsi"/>
          <w:sz w:val="28"/>
          <w:szCs w:val="28"/>
        </w:rPr>
        <w:t>mm from</w:t>
      </w:r>
      <w:r w:rsidR="00E26B8B">
        <w:rPr>
          <w:rFonts w:cstheme="minorHAnsi"/>
          <w:sz w:val="28"/>
          <w:szCs w:val="28"/>
        </w:rPr>
        <w:t xml:space="preserve"> the junction between the frame and supporting construction.</w:t>
      </w:r>
      <w:r w:rsidR="0081078E">
        <w:rPr>
          <w:rFonts w:cstheme="minorHAnsi"/>
          <w:sz w:val="28"/>
          <w:szCs w:val="28"/>
        </w:rPr>
        <w:t xml:space="preserve"> </w:t>
      </w:r>
      <w:bookmarkStart w:id="2" w:name="_Hlk57034886"/>
      <w:r w:rsidR="0081078E">
        <w:rPr>
          <w:rFonts w:cstheme="minorHAnsi"/>
          <w:sz w:val="28"/>
          <w:szCs w:val="28"/>
        </w:rPr>
        <w:t>These classifications take the form of ‘EI</w:t>
      </w:r>
      <w:r w:rsidR="0081078E">
        <w:rPr>
          <w:rFonts w:cstheme="minorHAnsi"/>
          <w:sz w:val="28"/>
          <w:szCs w:val="28"/>
          <w:vertAlign w:val="subscript"/>
        </w:rPr>
        <w:t>1</w:t>
      </w:r>
      <w:r w:rsidR="009944F6">
        <w:rPr>
          <w:rFonts w:cstheme="minorHAnsi"/>
          <w:sz w:val="28"/>
          <w:szCs w:val="28"/>
          <w:vertAlign w:val="subscript"/>
        </w:rPr>
        <w:t xml:space="preserve"> </w:t>
      </w:r>
      <w:r w:rsidR="009944F6">
        <w:rPr>
          <w:rFonts w:cstheme="minorHAnsi"/>
          <w:sz w:val="28"/>
          <w:szCs w:val="28"/>
        </w:rPr>
        <w:t>XX</w:t>
      </w:r>
      <w:r w:rsidR="0081078E">
        <w:rPr>
          <w:rFonts w:cstheme="minorHAnsi"/>
          <w:sz w:val="28"/>
          <w:szCs w:val="28"/>
        </w:rPr>
        <w:t>’.</w:t>
      </w:r>
      <w:bookmarkEnd w:id="2"/>
    </w:p>
    <w:bookmarkEnd w:id="1"/>
    <w:p w14:paraId="3E621043" w14:textId="2EF096DB" w:rsidR="00113378" w:rsidRDefault="00113378" w:rsidP="00113378">
      <w:pPr>
        <w:pStyle w:val="ListParagraph"/>
        <w:numPr>
          <w:ilvl w:val="2"/>
          <w:numId w:val="1"/>
        </w:numPr>
        <w:autoSpaceDE w:val="0"/>
        <w:autoSpaceDN w:val="0"/>
        <w:adjustRightInd w:val="0"/>
        <w:spacing w:line="240" w:lineRule="auto"/>
        <w:rPr>
          <w:rFonts w:cstheme="minorHAnsi"/>
          <w:sz w:val="28"/>
          <w:szCs w:val="28"/>
        </w:rPr>
      </w:pPr>
      <w:r>
        <w:rPr>
          <w:rFonts w:cstheme="minorHAnsi"/>
          <w:sz w:val="28"/>
          <w:szCs w:val="28"/>
        </w:rPr>
        <w:t>‘I</w:t>
      </w:r>
      <w:r>
        <w:rPr>
          <w:rFonts w:cstheme="minorHAnsi"/>
          <w:sz w:val="28"/>
          <w:szCs w:val="28"/>
          <w:vertAlign w:val="subscript"/>
        </w:rPr>
        <w:t>2</w:t>
      </w:r>
      <w:r>
        <w:rPr>
          <w:rFonts w:cstheme="minorHAnsi"/>
          <w:sz w:val="28"/>
          <w:szCs w:val="28"/>
        </w:rPr>
        <w:t>’ - In addition to the basic requirement above, no temperature measurements shall be taken into account on the door leaf within 100mm from the border line of the visible part of the door leaf. The maximum temperature of any point on the frame shall be limited to 360°C, measured at 100mm from the visible edge (on the unexposed face) of the door leaf, if the frame is wider than 100mm, otherwise it shall be measured at the frame/supporting boundary.</w:t>
      </w:r>
      <w:r w:rsidR="0081078E">
        <w:rPr>
          <w:rFonts w:cstheme="minorHAnsi"/>
          <w:sz w:val="28"/>
          <w:szCs w:val="28"/>
        </w:rPr>
        <w:t xml:space="preserve"> These classifications take the form of ‘EI</w:t>
      </w:r>
      <w:r w:rsidR="0081078E">
        <w:rPr>
          <w:rFonts w:cstheme="minorHAnsi"/>
          <w:sz w:val="28"/>
          <w:szCs w:val="28"/>
          <w:vertAlign w:val="subscript"/>
        </w:rPr>
        <w:t>2</w:t>
      </w:r>
      <w:r w:rsidR="009944F6">
        <w:rPr>
          <w:rFonts w:cstheme="minorHAnsi"/>
          <w:sz w:val="28"/>
          <w:szCs w:val="28"/>
          <w:vertAlign w:val="subscript"/>
        </w:rPr>
        <w:t xml:space="preserve"> </w:t>
      </w:r>
      <w:r w:rsidR="009944F6">
        <w:rPr>
          <w:rFonts w:cstheme="minorHAnsi"/>
          <w:sz w:val="28"/>
          <w:szCs w:val="28"/>
        </w:rPr>
        <w:t>XX</w:t>
      </w:r>
      <w:r w:rsidR="0081078E">
        <w:rPr>
          <w:rFonts w:cstheme="minorHAnsi"/>
          <w:sz w:val="28"/>
          <w:szCs w:val="28"/>
        </w:rPr>
        <w:t>’.</w:t>
      </w:r>
    </w:p>
    <w:p w14:paraId="778ABB08" w14:textId="2986F030" w:rsidR="007C5B9B" w:rsidRDefault="007C5B9B" w:rsidP="007C5B9B">
      <w:pPr>
        <w:pStyle w:val="ListParagraph"/>
        <w:numPr>
          <w:ilvl w:val="0"/>
          <w:numId w:val="1"/>
        </w:numPr>
        <w:autoSpaceDE w:val="0"/>
        <w:autoSpaceDN w:val="0"/>
        <w:adjustRightInd w:val="0"/>
        <w:spacing w:line="240" w:lineRule="auto"/>
        <w:rPr>
          <w:rFonts w:cstheme="minorHAnsi"/>
          <w:sz w:val="28"/>
          <w:szCs w:val="28"/>
        </w:rPr>
      </w:pPr>
      <w:r>
        <w:rPr>
          <w:rFonts w:cstheme="minorHAnsi"/>
          <w:sz w:val="28"/>
          <w:szCs w:val="28"/>
        </w:rPr>
        <w:t>‘W’ – Radiation</w:t>
      </w:r>
      <w:r w:rsidR="00DC2962">
        <w:rPr>
          <w:rStyle w:val="FootnoteReference"/>
          <w:rFonts w:cstheme="minorHAnsi"/>
          <w:sz w:val="28"/>
          <w:szCs w:val="28"/>
        </w:rPr>
        <w:footnoteReference w:id="6"/>
      </w:r>
      <w:r>
        <w:rPr>
          <w:rFonts w:cstheme="minorHAnsi"/>
          <w:sz w:val="28"/>
          <w:szCs w:val="28"/>
        </w:rPr>
        <w:t xml:space="preserve"> – Classification for radiation shall be given by the time for which the maximum value of radiation, measured as specified in the test standard, does not exceed 15 kW/m</w:t>
      </w:r>
      <w:r>
        <w:rPr>
          <w:rFonts w:cstheme="minorHAnsi"/>
          <w:sz w:val="28"/>
          <w:szCs w:val="28"/>
          <w:vertAlign w:val="superscript"/>
        </w:rPr>
        <w:t>2</w:t>
      </w:r>
      <w:r w:rsidR="001120B1">
        <w:rPr>
          <w:rFonts w:cstheme="minorHAnsi"/>
          <w:sz w:val="28"/>
          <w:szCs w:val="28"/>
        </w:rPr>
        <w:t>.</w:t>
      </w:r>
      <w:r w:rsidR="0081078E">
        <w:rPr>
          <w:rFonts w:cstheme="minorHAnsi"/>
          <w:sz w:val="28"/>
          <w:szCs w:val="28"/>
        </w:rPr>
        <w:t xml:space="preserve"> These classifications take the form of ‘EW XX’.</w:t>
      </w:r>
    </w:p>
    <w:p w14:paraId="02D0055A" w14:textId="77777777" w:rsidR="0081078E" w:rsidRDefault="0081078E">
      <w:pPr>
        <w:rPr>
          <w:rFonts w:cstheme="minorHAnsi"/>
          <w:sz w:val="28"/>
          <w:szCs w:val="28"/>
        </w:rPr>
      </w:pPr>
      <w:r>
        <w:rPr>
          <w:rFonts w:cstheme="minorHAnsi"/>
          <w:sz w:val="28"/>
          <w:szCs w:val="28"/>
        </w:rPr>
        <w:br w:type="page"/>
      </w:r>
    </w:p>
    <w:p w14:paraId="19072203" w14:textId="15BF86FF" w:rsidR="00E26B8B" w:rsidRDefault="00E26B8B" w:rsidP="00E26B8B">
      <w:pPr>
        <w:pStyle w:val="ListParagraph"/>
        <w:numPr>
          <w:ilvl w:val="0"/>
          <w:numId w:val="1"/>
        </w:numPr>
        <w:autoSpaceDE w:val="0"/>
        <w:autoSpaceDN w:val="0"/>
        <w:adjustRightInd w:val="0"/>
        <w:spacing w:line="240" w:lineRule="auto"/>
        <w:rPr>
          <w:rFonts w:cstheme="minorHAnsi"/>
          <w:sz w:val="28"/>
          <w:szCs w:val="28"/>
        </w:rPr>
      </w:pPr>
      <w:r>
        <w:rPr>
          <w:rFonts w:cstheme="minorHAnsi"/>
          <w:sz w:val="28"/>
          <w:szCs w:val="28"/>
        </w:rPr>
        <w:lastRenderedPageBreak/>
        <w:t xml:space="preserve">Classes for fire doors and shutters </w:t>
      </w:r>
      <w:r w:rsidR="00DC2962">
        <w:rPr>
          <w:rFonts w:cstheme="minorHAnsi"/>
          <w:sz w:val="28"/>
          <w:szCs w:val="28"/>
        </w:rPr>
        <w:t>i</w:t>
      </w:r>
      <w:r>
        <w:rPr>
          <w:rFonts w:cstheme="minorHAnsi"/>
          <w:sz w:val="28"/>
          <w:szCs w:val="28"/>
        </w:rPr>
        <w:t>ncluding their closing devices (EN 13501-2 Table 6)</w:t>
      </w:r>
    </w:p>
    <w:tbl>
      <w:tblPr>
        <w:tblStyle w:val="TableGrid"/>
        <w:tblW w:w="0" w:type="auto"/>
        <w:tblLook w:val="04A0" w:firstRow="1" w:lastRow="0" w:firstColumn="1" w:lastColumn="0" w:noHBand="0" w:noVBand="1"/>
      </w:tblPr>
      <w:tblGrid>
        <w:gridCol w:w="901"/>
        <w:gridCol w:w="901"/>
        <w:gridCol w:w="901"/>
        <w:gridCol w:w="901"/>
        <w:gridCol w:w="902"/>
        <w:gridCol w:w="902"/>
        <w:gridCol w:w="902"/>
        <w:gridCol w:w="902"/>
        <w:gridCol w:w="902"/>
        <w:gridCol w:w="902"/>
      </w:tblGrid>
      <w:tr w:rsidR="00E26B8B" w14:paraId="4F9E283A" w14:textId="77777777" w:rsidTr="00E26B8B">
        <w:tc>
          <w:tcPr>
            <w:tcW w:w="901" w:type="dxa"/>
          </w:tcPr>
          <w:p w14:paraId="244EF7FB" w14:textId="2313FA98" w:rsidR="00E26B8B" w:rsidRDefault="00E26B8B" w:rsidP="00E26B8B">
            <w:pPr>
              <w:autoSpaceDE w:val="0"/>
              <w:autoSpaceDN w:val="0"/>
              <w:adjustRightInd w:val="0"/>
              <w:jc w:val="center"/>
              <w:rPr>
                <w:rFonts w:cstheme="minorHAnsi"/>
                <w:sz w:val="28"/>
                <w:szCs w:val="28"/>
              </w:rPr>
            </w:pPr>
            <w:r>
              <w:rPr>
                <w:rFonts w:cstheme="minorHAnsi"/>
                <w:sz w:val="28"/>
                <w:szCs w:val="28"/>
              </w:rPr>
              <w:t>E</w:t>
            </w:r>
          </w:p>
        </w:tc>
        <w:tc>
          <w:tcPr>
            <w:tcW w:w="901" w:type="dxa"/>
          </w:tcPr>
          <w:p w14:paraId="048C23F1" w14:textId="1951D76D" w:rsidR="00E26B8B" w:rsidRDefault="00E26B8B" w:rsidP="00E26B8B">
            <w:pPr>
              <w:autoSpaceDE w:val="0"/>
              <w:autoSpaceDN w:val="0"/>
              <w:adjustRightInd w:val="0"/>
              <w:jc w:val="center"/>
              <w:rPr>
                <w:rFonts w:cstheme="minorHAnsi"/>
                <w:sz w:val="28"/>
                <w:szCs w:val="28"/>
              </w:rPr>
            </w:pPr>
            <w:r>
              <w:rPr>
                <w:rFonts w:cstheme="minorHAnsi"/>
                <w:sz w:val="28"/>
                <w:szCs w:val="28"/>
              </w:rPr>
              <w:t>15</w:t>
            </w:r>
          </w:p>
        </w:tc>
        <w:tc>
          <w:tcPr>
            <w:tcW w:w="901" w:type="dxa"/>
          </w:tcPr>
          <w:p w14:paraId="0F4B7A2B" w14:textId="4C40D62C" w:rsidR="00E26B8B" w:rsidRDefault="00E26B8B" w:rsidP="00E26B8B">
            <w:pPr>
              <w:autoSpaceDE w:val="0"/>
              <w:autoSpaceDN w:val="0"/>
              <w:adjustRightInd w:val="0"/>
              <w:jc w:val="center"/>
              <w:rPr>
                <w:rFonts w:cstheme="minorHAnsi"/>
                <w:sz w:val="28"/>
                <w:szCs w:val="28"/>
              </w:rPr>
            </w:pPr>
            <w:r>
              <w:rPr>
                <w:rFonts w:cstheme="minorHAnsi"/>
                <w:sz w:val="28"/>
                <w:szCs w:val="28"/>
              </w:rPr>
              <w:t>20</w:t>
            </w:r>
          </w:p>
        </w:tc>
        <w:tc>
          <w:tcPr>
            <w:tcW w:w="901" w:type="dxa"/>
          </w:tcPr>
          <w:p w14:paraId="5D9A7E23" w14:textId="0605E77C" w:rsidR="00E26B8B" w:rsidRDefault="00E26B8B" w:rsidP="00E26B8B">
            <w:pPr>
              <w:autoSpaceDE w:val="0"/>
              <w:autoSpaceDN w:val="0"/>
              <w:adjustRightInd w:val="0"/>
              <w:jc w:val="center"/>
              <w:rPr>
                <w:rFonts w:cstheme="minorHAnsi"/>
                <w:sz w:val="28"/>
                <w:szCs w:val="28"/>
              </w:rPr>
            </w:pPr>
            <w:r>
              <w:rPr>
                <w:rFonts w:cstheme="minorHAnsi"/>
                <w:sz w:val="28"/>
                <w:szCs w:val="28"/>
              </w:rPr>
              <w:t>30</w:t>
            </w:r>
          </w:p>
        </w:tc>
        <w:tc>
          <w:tcPr>
            <w:tcW w:w="902" w:type="dxa"/>
          </w:tcPr>
          <w:p w14:paraId="0AE5FF9A" w14:textId="0F2EF81D" w:rsidR="00E26B8B" w:rsidRDefault="00E26B8B" w:rsidP="00E26B8B">
            <w:pPr>
              <w:autoSpaceDE w:val="0"/>
              <w:autoSpaceDN w:val="0"/>
              <w:adjustRightInd w:val="0"/>
              <w:jc w:val="center"/>
              <w:rPr>
                <w:rFonts w:cstheme="minorHAnsi"/>
                <w:sz w:val="28"/>
                <w:szCs w:val="28"/>
              </w:rPr>
            </w:pPr>
            <w:r>
              <w:rPr>
                <w:rFonts w:cstheme="minorHAnsi"/>
                <w:sz w:val="28"/>
                <w:szCs w:val="28"/>
              </w:rPr>
              <w:t>45</w:t>
            </w:r>
          </w:p>
        </w:tc>
        <w:tc>
          <w:tcPr>
            <w:tcW w:w="902" w:type="dxa"/>
          </w:tcPr>
          <w:p w14:paraId="348B663A" w14:textId="1B29247F" w:rsidR="00E26B8B" w:rsidRDefault="00E26B8B" w:rsidP="00E26B8B">
            <w:pPr>
              <w:autoSpaceDE w:val="0"/>
              <w:autoSpaceDN w:val="0"/>
              <w:adjustRightInd w:val="0"/>
              <w:jc w:val="center"/>
              <w:rPr>
                <w:rFonts w:cstheme="minorHAnsi"/>
                <w:sz w:val="28"/>
                <w:szCs w:val="28"/>
              </w:rPr>
            </w:pPr>
            <w:r>
              <w:rPr>
                <w:rFonts w:cstheme="minorHAnsi"/>
                <w:sz w:val="28"/>
                <w:szCs w:val="28"/>
              </w:rPr>
              <w:t>60</w:t>
            </w:r>
          </w:p>
        </w:tc>
        <w:tc>
          <w:tcPr>
            <w:tcW w:w="902" w:type="dxa"/>
          </w:tcPr>
          <w:p w14:paraId="62DD8A26" w14:textId="0CE89FB5" w:rsidR="00E26B8B" w:rsidRDefault="007C5B9B" w:rsidP="00E26B8B">
            <w:pPr>
              <w:autoSpaceDE w:val="0"/>
              <w:autoSpaceDN w:val="0"/>
              <w:adjustRightInd w:val="0"/>
              <w:jc w:val="center"/>
              <w:rPr>
                <w:rFonts w:cstheme="minorHAnsi"/>
                <w:sz w:val="28"/>
                <w:szCs w:val="28"/>
              </w:rPr>
            </w:pPr>
            <w:r>
              <w:rPr>
                <w:rFonts w:cstheme="minorHAnsi"/>
                <w:sz w:val="28"/>
                <w:szCs w:val="28"/>
              </w:rPr>
              <w:t>90</w:t>
            </w:r>
          </w:p>
        </w:tc>
        <w:tc>
          <w:tcPr>
            <w:tcW w:w="902" w:type="dxa"/>
          </w:tcPr>
          <w:p w14:paraId="6809ADCB" w14:textId="7C897122" w:rsidR="00E26B8B" w:rsidRDefault="007C5B9B" w:rsidP="00E26B8B">
            <w:pPr>
              <w:autoSpaceDE w:val="0"/>
              <w:autoSpaceDN w:val="0"/>
              <w:adjustRightInd w:val="0"/>
              <w:jc w:val="center"/>
              <w:rPr>
                <w:rFonts w:cstheme="minorHAnsi"/>
                <w:sz w:val="28"/>
                <w:szCs w:val="28"/>
              </w:rPr>
            </w:pPr>
            <w:r>
              <w:rPr>
                <w:rFonts w:cstheme="minorHAnsi"/>
                <w:sz w:val="28"/>
                <w:szCs w:val="28"/>
              </w:rPr>
              <w:t>120</w:t>
            </w:r>
          </w:p>
        </w:tc>
        <w:tc>
          <w:tcPr>
            <w:tcW w:w="902" w:type="dxa"/>
          </w:tcPr>
          <w:p w14:paraId="565D245B" w14:textId="20887E19" w:rsidR="00E26B8B" w:rsidRDefault="007C5B9B" w:rsidP="00E26B8B">
            <w:pPr>
              <w:autoSpaceDE w:val="0"/>
              <w:autoSpaceDN w:val="0"/>
              <w:adjustRightInd w:val="0"/>
              <w:jc w:val="center"/>
              <w:rPr>
                <w:rFonts w:cstheme="minorHAnsi"/>
                <w:sz w:val="28"/>
                <w:szCs w:val="28"/>
              </w:rPr>
            </w:pPr>
            <w:r>
              <w:rPr>
                <w:rFonts w:cstheme="minorHAnsi"/>
                <w:sz w:val="28"/>
                <w:szCs w:val="28"/>
              </w:rPr>
              <w:t>180</w:t>
            </w:r>
          </w:p>
        </w:tc>
        <w:tc>
          <w:tcPr>
            <w:tcW w:w="902" w:type="dxa"/>
          </w:tcPr>
          <w:p w14:paraId="4E488835" w14:textId="2C80CAFA" w:rsidR="00E26B8B" w:rsidRDefault="007C5B9B" w:rsidP="00E26B8B">
            <w:pPr>
              <w:autoSpaceDE w:val="0"/>
              <w:autoSpaceDN w:val="0"/>
              <w:adjustRightInd w:val="0"/>
              <w:jc w:val="center"/>
              <w:rPr>
                <w:rFonts w:cstheme="minorHAnsi"/>
                <w:sz w:val="28"/>
                <w:szCs w:val="28"/>
              </w:rPr>
            </w:pPr>
            <w:r>
              <w:rPr>
                <w:rFonts w:cstheme="minorHAnsi"/>
                <w:sz w:val="28"/>
                <w:szCs w:val="28"/>
              </w:rPr>
              <w:t>240</w:t>
            </w:r>
          </w:p>
        </w:tc>
      </w:tr>
      <w:tr w:rsidR="00E26B8B" w14:paraId="3580880D" w14:textId="77777777" w:rsidTr="00E26B8B">
        <w:tc>
          <w:tcPr>
            <w:tcW w:w="901" w:type="dxa"/>
          </w:tcPr>
          <w:p w14:paraId="017A2426" w14:textId="76A184B9" w:rsidR="00E26B8B" w:rsidRPr="00E26B8B" w:rsidRDefault="00E26B8B" w:rsidP="00E26B8B">
            <w:pPr>
              <w:autoSpaceDE w:val="0"/>
              <w:autoSpaceDN w:val="0"/>
              <w:adjustRightInd w:val="0"/>
              <w:jc w:val="center"/>
              <w:rPr>
                <w:rFonts w:cstheme="minorHAnsi"/>
                <w:sz w:val="28"/>
                <w:szCs w:val="28"/>
                <w:vertAlign w:val="subscript"/>
              </w:rPr>
            </w:pPr>
            <w:r>
              <w:rPr>
                <w:rFonts w:cstheme="minorHAnsi"/>
                <w:sz w:val="28"/>
                <w:szCs w:val="28"/>
              </w:rPr>
              <w:t>EI</w:t>
            </w:r>
            <w:r>
              <w:rPr>
                <w:rFonts w:cstheme="minorHAnsi"/>
                <w:sz w:val="28"/>
                <w:szCs w:val="28"/>
                <w:vertAlign w:val="subscript"/>
              </w:rPr>
              <w:t>1</w:t>
            </w:r>
          </w:p>
        </w:tc>
        <w:tc>
          <w:tcPr>
            <w:tcW w:w="901" w:type="dxa"/>
          </w:tcPr>
          <w:p w14:paraId="45C96892" w14:textId="7E6F6AB6" w:rsidR="00E26B8B" w:rsidRDefault="00E26B8B" w:rsidP="00E26B8B">
            <w:pPr>
              <w:autoSpaceDE w:val="0"/>
              <w:autoSpaceDN w:val="0"/>
              <w:adjustRightInd w:val="0"/>
              <w:jc w:val="center"/>
              <w:rPr>
                <w:rFonts w:cstheme="minorHAnsi"/>
                <w:sz w:val="28"/>
                <w:szCs w:val="28"/>
              </w:rPr>
            </w:pPr>
            <w:r>
              <w:rPr>
                <w:rFonts w:cstheme="minorHAnsi"/>
                <w:sz w:val="28"/>
                <w:szCs w:val="28"/>
              </w:rPr>
              <w:t>15</w:t>
            </w:r>
          </w:p>
        </w:tc>
        <w:tc>
          <w:tcPr>
            <w:tcW w:w="901" w:type="dxa"/>
          </w:tcPr>
          <w:p w14:paraId="5ABD8DAB" w14:textId="3913F868" w:rsidR="00E26B8B" w:rsidRDefault="00E26B8B" w:rsidP="00E26B8B">
            <w:pPr>
              <w:autoSpaceDE w:val="0"/>
              <w:autoSpaceDN w:val="0"/>
              <w:adjustRightInd w:val="0"/>
              <w:jc w:val="center"/>
              <w:rPr>
                <w:rFonts w:cstheme="minorHAnsi"/>
                <w:sz w:val="28"/>
                <w:szCs w:val="28"/>
              </w:rPr>
            </w:pPr>
            <w:r>
              <w:rPr>
                <w:rFonts w:cstheme="minorHAnsi"/>
                <w:sz w:val="28"/>
                <w:szCs w:val="28"/>
              </w:rPr>
              <w:t>20</w:t>
            </w:r>
          </w:p>
        </w:tc>
        <w:tc>
          <w:tcPr>
            <w:tcW w:w="901" w:type="dxa"/>
          </w:tcPr>
          <w:p w14:paraId="34F0BC41" w14:textId="0C3B4C3F" w:rsidR="00E26B8B" w:rsidRDefault="00E26B8B" w:rsidP="00E26B8B">
            <w:pPr>
              <w:autoSpaceDE w:val="0"/>
              <w:autoSpaceDN w:val="0"/>
              <w:adjustRightInd w:val="0"/>
              <w:jc w:val="center"/>
              <w:rPr>
                <w:rFonts w:cstheme="minorHAnsi"/>
                <w:sz w:val="28"/>
                <w:szCs w:val="28"/>
              </w:rPr>
            </w:pPr>
            <w:r>
              <w:rPr>
                <w:rFonts w:cstheme="minorHAnsi"/>
                <w:sz w:val="28"/>
                <w:szCs w:val="28"/>
              </w:rPr>
              <w:t>30</w:t>
            </w:r>
          </w:p>
        </w:tc>
        <w:tc>
          <w:tcPr>
            <w:tcW w:w="902" w:type="dxa"/>
          </w:tcPr>
          <w:p w14:paraId="1272C901" w14:textId="0A602904" w:rsidR="00E26B8B" w:rsidRDefault="00E26B8B" w:rsidP="00E26B8B">
            <w:pPr>
              <w:autoSpaceDE w:val="0"/>
              <w:autoSpaceDN w:val="0"/>
              <w:adjustRightInd w:val="0"/>
              <w:jc w:val="center"/>
              <w:rPr>
                <w:rFonts w:cstheme="minorHAnsi"/>
                <w:sz w:val="28"/>
                <w:szCs w:val="28"/>
              </w:rPr>
            </w:pPr>
            <w:r>
              <w:rPr>
                <w:rFonts w:cstheme="minorHAnsi"/>
                <w:sz w:val="28"/>
                <w:szCs w:val="28"/>
              </w:rPr>
              <w:t>45</w:t>
            </w:r>
          </w:p>
        </w:tc>
        <w:tc>
          <w:tcPr>
            <w:tcW w:w="902" w:type="dxa"/>
          </w:tcPr>
          <w:p w14:paraId="5895F877" w14:textId="3BB8BB6A" w:rsidR="00E26B8B" w:rsidRDefault="00E26B8B" w:rsidP="00E26B8B">
            <w:pPr>
              <w:autoSpaceDE w:val="0"/>
              <w:autoSpaceDN w:val="0"/>
              <w:adjustRightInd w:val="0"/>
              <w:jc w:val="center"/>
              <w:rPr>
                <w:rFonts w:cstheme="minorHAnsi"/>
                <w:sz w:val="28"/>
                <w:szCs w:val="28"/>
              </w:rPr>
            </w:pPr>
            <w:r>
              <w:rPr>
                <w:rFonts w:cstheme="minorHAnsi"/>
                <w:sz w:val="28"/>
                <w:szCs w:val="28"/>
              </w:rPr>
              <w:t>60</w:t>
            </w:r>
          </w:p>
        </w:tc>
        <w:tc>
          <w:tcPr>
            <w:tcW w:w="902" w:type="dxa"/>
          </w:tcPr>
          <w:p w14:paraId="0C69C38D" w14:textId="65B5C6C6" w:rsidR="00E26B8B" w:rsidRDefault="007C5B9B" w:rsidP="00E26B8B">
            <w:pPr>
              <w:autoSpaceDE w:val="0"/>
              <w:autoSpaceDN w:val="0"/>
              <w:adjustRightInd w:val="0"/>
              <w:jc w:val="center"/>
              <w:rPr>
                <w:rFonts w:cstheme="minorHAnsi"/>
                <w:sz w:val="28"/>
                <w:szCs w:val="28"/>
              </w:rPr>
            </w:pPr>
            <w:r>
              <w:rPr>
                <w:rFonts w:cstheme="minorHAnsi"/>
                <w:sz w:val="28"/>
                <w:szCs w:val="28"/>
              </w:rPr>
              <w:t>90</w:t>
            </w:r>
          </w:p>
        </w:tc>
        <w:tc>
          <w:tcPr>
            <w:tcW w:w="902" w:type="dxa"/>
          </w:tcPr>
          <w:p w14:paraId="507FB54A" w14:textId="01068459" w:rsidR="00E26B8B" w:rsidRDefault="007C5B9B" w:rsidP="00E26B8B">
            <w:pPr>
              <w:autoSpaceDE w:val="0"/>
              <w:autoSpaceDN w:val="0"/>
              <w:adjustRightInd w:val="0"/>
              <w:jc w:val="center"/>
              <w:rPr>
                <w:rFonts w:cstheme="minorHAnsi"/>
                <w:sz w:val="28"/>
                <w:szCs w:val="28"/>
              </w:rPr>
            </w:pPr>
            <w:r>
              <w:rPr>
                <w:rFonts w:cstheme="minorHAnsi"/>
                <w:sz w:val="28"/>
                <w:szCs w:val="28"/>
              </w:rPr>
              <w:t>120</w:t>
            </w:r>
          </w:p>
        </w:tc>
        <w:tc>
          <w:tcPr>
            <w:tcW w:w="902" w:type="dxa"/>
          </w:tcPr>
          <w:p w14:paraId="4E5AB325" w14:textId="3DEF21AA" w:rsidR="00E26B8B" w:rsidRDefault="007C5B9B" w:rsidP="00E26B8B">
            <w:pPr>
              <w:autoSpaceDE w:val="0"/>
              <w:autoSpaceDN w:val="0"/>
              <w:adjustRightInd w:val="0"/>
              <w:jc w:val="center"/>
              <w:rPr>
                <w:rFonts w:cstheme="minorHAnsi"/>
                <w:sz w:val="28"/>
                <w:szCs w:val="28"/>
              </w:rPr>
            </w:pPr>
            <w:r>
              <w:rPr>
                <w:rFonts w:cstheme="minorHAnsi"/>
                <w:sz w:val="28"/>
                <w:szCs w:val="28"/>
              </w:rPr>
              <w:t>180</w:t>
            </w:r>
          </w:p>
        </w:tc>
        <w:tc>
          <w:tcPr>
            <w:tcW w:w="902" w:type="dxa"/>
          </w:tcPr>
          <w:p w14:paraId="0897756D" w14:textId="63576C66" w:rsidR="00E26B8B" w:rsidRDefault="007C5B9B" w:rsidP="00E26B8B">
            <w:pPr>
              <w:autoSpaceDE w:val="0"/>
              <w:autoSpaceDN w:val="0"/>
              <w:adjustRightInd w:val="0"/>
              <w:jc w:val="center"/>
              <w:rPr>
                <w:rFonts w:cstheme="minorHAnsi"/>
                <w:sz w:val="28"/>
                <w:szCs w:val="28"/>
              </w:rPr>
            </w:pPr>
            <w:r>
              <w:rPr>
                <w:rFonts w:cstheme="minorHAnsi"/>
                <w:sz w:val="28"/>
                <w:szCs w:val="28"/>
              </w:rPr>
              <w:t>240</w:t>
            </w:r>
          </w:p>
        </w:tc>
      </w:tr>
      <w:tr w:rsidR="00E26B8B" w14:paraId="4F945A74" w14:textId="77777777" w:rsidTr="00E26B8B">
        <w:tc>
          <w:tcPr>
            <w:tcW w:w="901" w:type="dxa"/>
          </w:tcPr>
          <w:p w14:paraId="1EF03011" w14:textId="121D8057" w:rsidR="00E26B8B" w:rsidRPr="00E26B8B" w:rsidRDefault="00E26B8B" w:rsidP="00E26B8B">
            <w:pPr>
              <w:autoSpaceDE w:val="0"/>
              <w:autoSpaceDN w:val="0"/>
              <w:adjustRightInd w:val="0"/>
              <w:jc w:val="center"/>
              <w:rPr>
                <w:rFonts w:cstheme="minorHAnsi"/>
                <w:sz w:val="28"/>
                <w:szCs w:val="28"/>
                <w:vertAlign w:val="subscript"/>
              </w:rPr>
            </w:pPr>
            <w:r>
              <w:rPr>
                <w:rFonts w:cstheme="minorHAnsi"/>
                <w:sz w:val="28"/>
                <w:szCs w:val="28"/>
              </w:rPr>
              <w:t>EI</w:t>
            </w:r>
            <w:r>
              <w:rPr>
                <w:rFonts w:cstheme="minorHAnsi"/>
                <w:sz w:val="28"/>
                <w:szCs w:val="28"/>
                <w:vertAlign w:val="subscript"/>
              </w:rPr>
              <w:t>2</w:t>
            </w:r>
          </w:p>
        </w:tc>
        <w:tc>
          <w:tcPr>
            <w:tcW w:w="901" w:type="dxa"/>
          </w:tcPr>
          <w:p w14:paraId="7F70D1BE" w14:textId="0F5C493B" w:rsidR="00E26B8B" w:rsidRDefault="00E26B8B" w:rsidP="00E26B8B">
            <w:pPr>
              <w:autoSpaceDE w:val="0"/>
              <w:autoSpaceDN w:val="0"/>
              <w:adjustRightInd w:val="0"/>
              <w:jc w:val="center"/>
              <w:rPr>
                <w:rFonts w:cstheme="minorHAnsi"/>
                <w:sz w:val="28"/>
                <w:szCs w:val="28"/>
              </w:rPr>
            </w:pPr>
            <w:r>
              <w:rPr>
                <w:rFonts w:cstheme="minorHAnsi"/>
                <w:sz w:val="28"/>
                <w:szCs w:val="28"/>
              </w:rPr>
              <w:t>15</w:t>
            </w:r>
          </w:p>
        </w:tc>
        <w:tc>
          <w:tcPr>
            <w:tcW w:w="901" w:type="dxa"/>
          </w:tcPr>
          <w:p w14:paraId="262B5080" w14:textId="40D8D18B" w:rsidR="00E26B8B" w:rsidRDefault="00E26B8B" w:rsidP="00E26B8B">
            <w:pPr>
              <w:autoSpaceDE w:val="0"/>
              <w:autoSpaceDN w:val="0"/>
              <w:adjustRightInd w:val="0"/>
              <w:jc w:val="center"/>
              <w:rPr>
                <w:rFonts w:cstheme="minorHAnsi"/>
                <w:sz w:val="28"/>
                <w:szCs w:val="28"/>
              </w:rPr>
            </w:pPr>
            <w:r>
              <w:rPr>
                <w:rFonts w:cstheme="minorHAnsi"/>
                <w:sz w:val="28"/>
                <w:szCs w:val="28"/>
              </w:rPr>
              <w:t>20</w:t>
            </w:r>
          </w:p>
        </w:tc>
        <w:tc>
          <w:tcPr>
            <w:tcW w:w="901" w:type="dxa"/>
          </w:tcPr>
          <w:p w14:paraId="66BBF652" w14:textId="53F72120" w:rsidR="00E26B8B" w:rsidRDefault="00E26B8B" w:rsidP="00E26B8B">
            <w:pPr>
              <w:autoSpaceDE w:val="0"/>
              <w:autoSpaceDN w:val="0"/>
              <w:adjustRightInd w:val="0"/>
              <w:jc w:val="center"/>
              <w:rPr>
                <w:rFonts w:cstheme="minorHAnsi"/>
                <w:sz w:val="28"/>
                <w:szCs w:val="28"/>
              </w:rPr>
            </w:pPr>
            <w:r>
              <w:rPr>
                <w:rFonts w:cstheme="minorHAnsi"/>
                <w:sz w:val="28"/>
                <w:szCs w:val="28"/>
              </w:rPr>
              <w:t>30</w:t>
            </w:r>
          </w:p>
        </w:tc>
        <w:tc>
          <w:tcPr>
            <w:tcW w:w="902" w:type="dxa"/>
          </w:tcPr>
          <w:p w14:paraId="53E58DFE" w14:textId="25B00B00" w:rsidR="00E26B8B" w:rsidRDefault="00E26B8B" w:rsidP="00E26B8B">
            <w:pPr>
              <w:autoSpaceDE w:val="0"/>
              <w:autoSpaceDN w:val="0"/>
              <w:adjustRightInd w:val="0"/>
              <w:jc w:val="center"/>
              <w:rPr>
                <w:rFonts w:cstheme="minorHAnsi"/>
                <w:sz w:val="28"/>
                <w:szCs w:val="28"/>
              </w:rPr>
            </w:pPr>
            <w:r>
              <w:rPr>
                <w:rFonts w:cstheme="minorHAnsi"/>
                <w:sz w:val="28"/>
                <w:szCs w:val="28"/>
              </w:rPr>
              <w:t>45</w:t>
            </w:r>
          </w:p>
        </w:tc>
        <w:tc>
          <w:tcPr>
            <w:tcW w:w="902" w:type="dxa"/>
          </w:tcPr>
          <w:p w14:paraId="288519D3" w14:textId="1BE3A204" w:rsidR="00E26B8B" w:rsidRDefault="007C5B9B" w:rsidP="00E26B8B">
            <w:pPr>
              <w:autoSpaceDE w:val="0"/>
              <w:autoSpaceDN w:val="0"/>
              <w:adjustRightInd w:val="0"/>
              <w:jc w:val="center"/>
              <w:rPr>
                <w:rFonts w:cstheme="minorHAnsi"/>
                <w:sz w:val="28"/>
                <w:szCs w:val="28"/>
              </w:rPr>
            </w:pPr>
            <w:r>
              <w:rPr>
                <w:rFonts w:cstheme="minorHAnsi"/>
                <w:sz w:val="28"/>
                <w:szCs w:val="28"/>
              </w:rPr>
              <w:t>60</w:t>
            </w:r>
          </w:p>
        </w:tc>
        <w:tc>
          <w:tcPr>
            <w:tcW w:w="902" w:type="dxa"/>
          </w:tcPr>
          <w:p w14:paraId="153C713F" w14:textId="13049572" w:rsidR="00E26B8B" w:rsidRDefault="007C5B9B" w:rsidP="00E26B8B">
            <w:pPr>
              <w:autoSpaceDE w:val="0"/>
              <w:autoSpaceDN w:val="0"/>
              <w:adjustRightInd w:val="0"/>
              <w:jc w:val="center"/>
              <w:rPr>
                <w:rFonts w:cstheme="minorHAnsi"/>
                <w:sz w:val="28"/>
                <w:szCs w:val="28"/>
              </w:rPr>
            </w:pPr>
            <w:r>
              <w:rPr>
                <w:rFonts w:cstheme="minorHAnsi"/>
                <w:sz w:val="28"/>
                <w:szCs w:val="28"/>
              </w:rPr>
              <w:t>90</w:t>
            </w:r>
          </w:p>
        </w:tc>
        <w:tc>
          <w:tcPr>
            <w:tcW w:w="902" w:type="dxa"/>
          </w:tcPr>
          <w:p w14:paraId="4AD13D33" w14:textId="07F29017" w:rsidR="00E26B8B" w:rsidRDefault="007C5B9B" w:rsidP="00E26B8B">
            <w:pPr>
              <w:autoSpaceDE w:val="0"/>
              <w:autoSpaceDN w:val="0"/>
              <w:adjustRightInd w:val="0"/>
              <w:jc w:val="center"/>
              <w:rPr>
                <w:rFonts w:cstheme="minorHAnsi"/>
                <w:sz w:val="28"/>
                <w:szCs w:val="28"/>
              </w:rPr>
            </w:pPr>
            <w:r>
              <w:rPr>
                <w:rFonts w:cstheme="minorHAnsi"/>
                <w:sz w:val="28"/>
                <w:szCs w:val="28"/>
              </w:rPr>
              <w:t>120</w:t>
            </w:r>
          </w:p>
        </w:tc>
        <w:tc>
          <w:tcPr>
            <w:tcW w:w="902" w:type="dxa"/>
          </w:tcPr>
          <w:p w14:paraId="5825BA06" w14:textId="42395475" w:rsidR="00E26B8B" w:rsidRDefault="007C5B9B" w:rsidP="00E26B8B">
            <w:pPr>
              <w:autoSpaceDE w:val="0"/>
              <w:autoSpaceDN w:val="0"/>
              <w:adjustRightInd w:val="0"/>
              <w:jc w:val="center"/>
              <w:rPr>
                <w:rFonts w:cstheme="minorHAnsi"/>
                <w:sz w:val="28"/>
                <w:szCs w:val="28"/>
              </w:rPr>
            </w:pPr>
            <w:r>
              <w:rPr>
                <w:rFonts w:cstheme="minorHAnsi"/>
                <w:sz w:val="28"/>
                <w:szCs w:val="28"/>
              </w:rPr>
              <w:t>180</w:t>
            </w:r>
          </w:p>
        </w:tc>
        <w:tc>
          <w:tcPr>
            <w:tcW w:w="902" w:type="dxa"/>
          </w:tcPr>
          <w:p w14:paraId="3A5E529E" w14:textId="01A97DDD" w:rsidR="00E26B8B" w:rsidRDefault="007C5B9B" w:rsidP="00E26B8B">
            <w:pPr>
              <w:autoSpaceDE w:val="0"/>
              <w:autoSpaceDN w:val="0"/>
              <w:adjustRightInd w:val="0"/>
              <w:jc w:val="center"/>
              <w:rPr>
                <w:rFonts w:cstheme="minorHAnsi"/>
                <w:sz w:val="28"/>
                <w:szCs w:val="28"/>
              </w:rPr>
            </w:pPr>
            <w:r>
              <w:rPr>
                <w:rFonts w:cstheme="minorHAnsi"/>
                <w:sz w:val="28"/>
                <w:szCs w:val="28"/>
              </w:rPr>
              <w:t>240</w:t>
            </w:r>
          </w:p>
        </w:tc>
      </w:tr>
      <w:tr w:rsidR="00E26B8B" w14:paraId="74C43477" w14:textId="77777777" w:rsidTr="00E26B8B">
        <w:tc>
          <w:tcPr>
            <w:tcW w:w="901" w:type="dxa"/>
          </w:tcPr>
          <w:p w14:paraId="095EF2EE" w14:textId="456088F7" w:rsidR="00E26B8B" w:rsidRDefault="00E26B8B" w:rsidP="00E26B8B">
            <w:pPr>
              <w:autoSpaceDE w:val="0"/>
              <w:autoSpaceDN w:val="0"/>
              <w:adjustRightInd w:val="0"/>
              <w:jc w:val="center"/>
              <w:rPr>
                <w:rFonts w:cstheme="minorHAnsi"/>
                <w:sz w:val="28"/>
                <w:szCs w:val="28"/>
              </w:rPr>
            </w:pPr>
            <w:r>
              <w:rPr>
                <w:rFonts w:cstheme="minorHAnsi"/>
                <w:sz w:val="28"/>
                <w:szCs w:val="28"/>
              </w:rPr>
              <w:t>EW</w:t>
            </w:r>
          </w:p>
        </w:tc>
        <w:tc>
          <w:tcPr>
            <w:tcW w:w="901" w:type="dxa"/>
          </w:tcPr>
          <w:p w14:paraId="1A9A3F53" w14:textId="77777777" w:rsidR="00E26B8B" w:rsidRDefault="00E26B8B" w:rsidP="00E26B8B">
            <w:pPr>
              <w:autoSpaceDE w:val="0"/>
              <w:autoSpaceDN w:val="0"/>
              <w:adjustRightInd w:val="0"/>
              <w:jc w:val="center"/>
              <w:rPr>
                <w:rFonts w:cstheme="minorHAnsi"/>
                <w:sz w:val="28"/>
                <w:szCs w:val="28"/>
              </w:rPr>
            </w:pPr>
          </w:p>
        </w:tc>
        <w:tc>
          <w:tcPr>
            <w:tcW w:w="901" w:type="dxa"/>
          </w:tcPr>
          <w:p w14:paraId="2A7C02BC" w14:textId="5EC1E5CC" w:rsidR="00E26B8B" w:rsidRDefault="00E26B8B" w:rsidP="00E26B8B">
            <w:pPr>
              <w:autoSpaceDE w:val="0"/>
              <w:autoSpaceDN w:val="0"/>
              <w:adjustRightInd w:val="0"/>
              <w:jc w:val="center"/>
              <w:rPr>
                <w:rFonts w:cstheme="minorHAnsi"/>
                <w:sz w:val="28"/>
                <w:szCs w:val="28"/>
              </w:rPr>
            </w:pPr>
            <w:r>
              <w:rPr>
                <w:rFonts w:cstheme="minorHAnsi"/>
                <w:sz w:val="28"/>
                <w:szCs w:val="28"/>
              </w:rPr>
              <w:t>20</w:t>
            </w:r>
          </w:p>
        </w:tc>
        <w:tc>
          <w:tcPr>
            <w:tcW w:w="901" w:type="dxa"/>
          </w:tcPr>
          <w:p w14:paraId="7281A6E2" w14:textId="53EA5F27" w:rsidR="00E26B8B" w:rsidRDefault="00E26B8B" w:rsidP="00E26B8B">
            <w:pPr>
              <w:autoSpaceDE w:val="0"/>
              <w:autoSpaceDN w:val="0"/>
              <w:adjustRightInd w:val="0"/>
              <w:jc w:val="center"/>
              <w:rPr>
                <w:rFonts w:cstheme="minorHAnsi"/>
                <w:sz w:val="28"/>
                <w:szCs w:val="28"/>
              </w:rPr>
            </w:pPr>
            <w:r>
              <w:rPr>
                <w:rFonts w:cstheme="minorHAnsi"/>
                <w:sz w:val="28"/>
                <w:szCs w:val="28"/>
              </w:rPr>
              <w:t>30</w:t>
            </w:r>
          </w:p>
        </w:tc>
        <w:tc>
          <w:tcPr>
            <w:tcW w:w="902" w:type="dxa"/>
          </w:tcPr>
          <w:p w14:paraId="72EC1BF7" w14:textId="77777777" w:rsidR="00E26B8B" w:rsidRDefault="00E26B8B" w:rsidP="00E26B8B">
            <w:pPr>
              <w:autoSpaceDE w:val="0"/>
              <w:autoSpaceDN w:val="0"/>
              <w:adjustRightInd w:val="0"/>
              <w:jc w:val="center"/>
              <w:rPr>
                <w:rFonts w:cstheme="minorHAnsi"/>
                <w:sz w:val="28"/>
                <w:szCs w:val="28"/>
              </w:rPr>
            </w:pPr>
          </w:p>
        </w:tc>
        <w:tc>
          <w:tcPr>
            <w:tcW w:w="902" w:type="dxa"/>
          </w:tcPr>
          <w:p w14:paraId="66F9DA46" w14:textId="3C7B94CB" w:rsidR="00E26B8B" w:rsidRDefault="007C5B9B" w:rsidP="00E26B8B">
            <w:pPr>
              <w:autoSpaceDE w:val="0"/>
              <w:autoSpaceDN w:val="0"/>
              <w:adjustRightInd w:val="0"/>
              <w:jc w:val="center"/>
              <w:rPr>
                <w:rFonts w:cstheme="minorHAnsi"/>
                <w:sz w:val="28"/>
                <w:szCs w:val="28"/>
              </w:rPr>
            </w:pPr>
            <w:r>
              <w:rPr>
                <w:rFonts w:cstheme="minorHAnsi"/>
                <w:sz w:val="28"/>
                <w:szCs w:val="28"/>
              </w:rPr>
              <w:t>60</w:t>
            </w:r>
          </w:p>
        </w:tc>
        <w:tc>
          <w:tcPr>
            <w:tcW w:w="902" w:type="dxa"/>
          </w:tcPr>
          <w:p w14:paraId="1A379FE6" w14:textId="6038B43C" w:rsidR="00E26B8B" w:rsidRDefault="007C5B9B" w:rsidP="00E26B8B">
            <w:pPr>
              <w:autoSpaceDE w:val="0"/>
              <w:autoSpaceDN w:val="0"/>
              <w:adjustRightInd w:val="0"/>
              <w:jc w:val="center"/>
              <w:rPr>
                <w:rFonts w:cstheme="minorHAnsi"/>
                <w:sz w:val="28"/>
                <w:szCs w:val="28"/>
              </w:rPr>
            </w:pPr>
            <w:r>
              <w:rPr>
                <w:rFonts w:cstheme="minorHAnsi"/>
                <w:sz w:val="28"/>
                <w:szCs w:val="28"/>
              </w:rPr>
              <w:t>90</w:t>
            </w:r>
          </w:p>
        </w:tc>
        <w:tc>
          <w:tcPr>
            <w:tcW w:w="902" w:type="dxa"/>
          </w:tcPr>
          <w:p w14:paraId="62FE06AE" w14:textId="36481476" w:rsidR="00E26B8B" w:rsidRDefault="007C5B9B" w:rsidP="00E26B8B">
            <w:pPr>
              <w:autoSpaceDE w:val="0"/>
              <w:autoSpaceDN w:val="0"/>
              <w:adjustRightInd w:val="0"/>
              <w:jc w:val="center"/>
              <w:rPr>
                <w:rFonts w:cstheme="minorHAnsi"/>
                <w:sz w:val="28"/>
                <w:szCs w:val="28"/>
              </w:rPr>
            </w:pPr>
            <w:r>
              <w:rPr>
                <w:rFonts w:cstheme="minorHAnsi"/>
                <w:sz w:val="28"/>
                <w:szCs w:val="28"/>
              </w:rPr>
              <w:t>120</w:t>
            </w:r>
          </w:p>
        </w:tc>
        <w:tc>
          <w:tcPr>
            <w:tcW w:w="902" w:type="dxa"/>
          </w:tcPr>
          <w:p w14:paraId="46533008" w14:textId="77777777" w:rsidR="00E26B8B" w:rsidRDefault="00E26B8B" w:rsidP="00E26B8B">
            <w:pPr>
              <w:autoSpaceDE w:val="0"/>
              <w:autoSpaceDN w:val="0"/>
              <w:adjustRightInd w:val="0"/>
              <w:jc w:val="center"/>
              <w:rPr>
                <w:rFonts w:cstheme="minorHAnsi"/>
                <w:sz w:val="28"/>
                <w:szCs w:val="28"/>
              </w:rPr>
            </w:pPr>
          </w:p>
        </w:tc>
        <w:tc>
          <w:tcPr>
            <w:tcW w:w="902" w:type="dxa"/>
          </w:tcPr>
          <w:p w14:paraId="00666F30" w14:textId="77777777" w:rsidR="00E26B8B" w:rsidRDefault="00E26B8B" w:rsidP="00E26B8B">
            <w:pPr>
              <w:autoSpaceDE w:val="0"/>
              <w:autoSpaceDN w:val="0"/>
              <w:adjustRightInd w:val="0"/>
              <w:jc w:val="center"/>
              <w:rPr>
                <w:rFonts w:cstheme="minorHAnsi"/>
                <w:sz w:val="28"/>
                <w:szCs w:val="28"/>
              </w:rPr>
            </w:pPr>
          </w:p>
        </w:tc>
      </w:tr>
    </w:tbl>
    <w:p w14:paraId="654DD714" w14:textId="1F6CD417" w:rsidR="00E26B8B" w:rsidRPr="00E26B8B" w:rsidRDefault="00E26B8B" w:rsidP="00E26B8B">
      <w:pPr>
        <w:autoSpaceDE w:val="0"/>
        <w:autoSpaceDN w:val="0"/>
        <w:adjustRightInd w:val="0"/>
        <w:spacing w:line="240" w:lineRule="auto"/>
        <w:rPr>
          <w:rFonts w:cstheme="minorHAnsi"/>
          <w:sz w:val="28"/>
          <w:szCs w:val="28"/>
        </w:rPr>
      </w:pPr>
    </w:p>
    <w:p w14:paraId="7FCD222D" w14:textId="3F10716C" w:rsidR="00113378" w:rsidRDefault="00E26B8B" w:rsidP="00E26B8B">
      <w:pPr>
        <w:pStyle w:val="ListParagraph"/>
        <w:numPr>
          <w:ilvl w:val="0"/>
          <w:numId w:val="1"/>
        </w:numPr>
        <w:autoSpaceDE w:val="0"/>
        <w:autoSpaceDN w:val="0"/>
        <w:adjustRightInd w:val="0"/>
        <w:spacing w:line="240" w:lineRule="auto"/>
        <w:rPr>
          <w:rFonts w:cstheme="minorHAnsi"/>
          <w:sz w:val="28"/>
          <w:szCs w:val="28"/>
        </w:rPr>
      </w:pPr>
      <w:r>
        <w:rPr>
          <w:rFonts w:cstheme="minorHAnsi"/>
          <w:sz w:val="28"/>
          <w:szCs w:val="28"/>
        </w:rPr>
        <w:t xml:space="preserve">‘S’ – Smoke </w:t>
      </w:r>
      <w:r w:rsidR="007C5B9B">
        <w:rPr>
          <w:rFonts w:cstheme="minorHAnsi"/>
          <w:sz w:val="28"/>
          <w:szCs w:val="28"/>
        </w:rPr>
        <w:t>Leakage</w:t>
      </w:r>
      <w:r>
        <w:rPr>
          <w:rFonts w:cstheme="minorHAnsi"/>
          <w:sz w:val="28"/>
          <w:szCs w:val="28"/>
        </w:rPr>
        <w:t xml:space="preserve"> </w:t>
      </w:r>
      <w:r w:rsidR="007C5B9B">
        <w:rPr>
          <w:rFonts w:cstheme="minorHAnsi"/>
          <w:sz w:val="28"/>
          <w:szCs w:val="28"/>
        </w:rPr>
        <w:t>–</w:t>
      </w:r>
      <w:r>
        <w:rPr>
          <w:rFonts w:cstheme="minorHAnsi"/>
          <w:sz w:val="28"/>
          <w:szCs w:val="28"/>
        </w:rPr>
        <w:t xml:space="preserve"> </w:t>
      </w:r>
      <w:r w:rsidR="007C5B9B">
        <w:rPr>
          <w:rFonts w:cstheme="minorHAnsi"/>
          <w:sz w:val="28"/>
          <w:szCs w:val="28"/>
        </w:rPr>
        <w:t>Following testing to EN 1634-3, the doorset classification may have Sa or S</w:t>
      </w:r>
      <w:r w:rsidR="007C5B9B">
        <w:rPr>
          <w:rFonts w:cstheme="minorHAnsi"/>
          <w:sz w:val="28"/>
          <w:szCs w:val="28"/>
          <w:vertAlign w:val="subscript"/>
        </w:rPr>
        <w:t>200</w:t>
      </w:r>
      <w:r w:rsidR="007C5B9B">
        <w:rPr>
          <w:rFonts w:cstheme="minorHAnsi"/>
          <w:sz w:val="28"/>
          <w:szCs w:val="28"/>
        </w:rPr>
        <w:t xml:space="preserve"> added after the classification shown in the table above.</w:t>
      </w:r>
    </w:p>
    <w:p w14:paraId="3C7E2243" w14:textId="5AF435C8" w:rsidR="007C5B9B" w:rsidRPr="0081078E" w:rsidRDefault="007C5B9B" w:rsidP="00BE7327">
      <w:pPr>
        <w:pStyle w:val="ListParagraph"/>
        <w:numPr>
          <w:ilvl w:val="1"/>
          <w:numId w:val="1"/>
        </w:numPr>
        <w:autoSpaceDE w:val="0"/>
        <w:autoSpaceDN w:val="0"/>
        <w:adjustRightInd w:val="0"/>
        <w:spacing w:line="240" w:lineRule="auto"/>
        <w:rPr>
          <w:rFonts w:cstheme="minorHAnsi"/>
          <w:sz w:val="28"/>
          <w:szCs w:val="28"/>
        </w:rPr>
      </w:pPr>
      <w:r w:rsidRPr="0081078E">
        <w:rPr>
          <w:rFonts w:cstheme="minorHAnsi"/>
          <w:sz w:val="28"/>
          <w:szCs w:val="28"/>
        </w:rPr>
        <w:t>S</w:t>
      </w:r>
      <w:r w:rsidRPr="0081078E">
        <w:rPr>
          <w:rFonts w:cstheme="minorHAnsi"/>
          <w:sz w:val="28"/>
          <w:szCs w:val="28"/>
          <w:vertAlign w:val="subscript"/>
        </w:rPr>
        <w:t>a</w:t>
      </w:r>
      <w:r w:rsidRPr="0081078E">
        <w:rPr>
          <w:rFonts w:cstheme="minorHAnsi"/>
          <w:sz w:val="28"/>
          <w:szCs w:val="28"/>
        </w:rPr>
        <w:t xml:space="preserve"> – Smoke leakage at ambient temperature only</w:t>
      </w:r>
    </w:p>
    <w:p w14:paraId="62945257" w14:textId="74DBFF38" w:rsidR="007C5B9B" w:rsidRDefault="007C5B9B" w:rsidP="007C5B9B">
      <w:pPr>
        <w:pStyle w:val="ListParagraph"/>
        <w:numPr>
          <w:ilvl w:val="1"/>
          <w:numId w:val="1"/>
        </w:numPr>
        <w:autoSpaceDE w:val="0"/>
        <w:autoSpaceDN w:val="0"/>
        <w:adjustRightInd w:val="0"/>
        <w:spacing w:line="240" w:lineRule="auto"/>
        <w:rPr>
          <w:rFonts w:cstheme="minorHAnsi"/>
          <w:sz w:val="28"/>
          <w:szCs w:val="28"/>
        </w:rPr>
      </w:pPr>
      <w:r>
        <w:rPr>
          <w:rFonts w:cstheme="minorHAnsi"/>
          <w:sz w:val="28"/>
          <w:szCs w:val="28"/>
        </w:rPr>
        <w:t>S</w:t>
      </w:r>
      <w:r>
        <w:rPr>
          <w:rFonts w:cstheme="minorHAnsi"/>
          <w:sz w:val="28"/>
          <w:szCs w:val="28"/>
          <w:vertAlign w:val="subscript"/>
        </w:rPr>
        <w:t>200</w:t>
      </w:r>
      <w:r>
        <w:rPr>
          <w:rFonts w:cstheme="minorHAnsi"/>
          <w:sz w:val="28"/>
          <w:szCs w:val="28"/>
        </w:rPr>
        <w:t xml:space="preserve"> – Smoke leakage at both ambient temperature and 200°C.</w:t>
      </w:r>
    </w:p>
    <w:p w14:paraId="36DAF005" w14:textId="473EEE59" w:rsidR="007C5B9B" w:rsidRDefault="007C5B9B" w:rsidP="007C5B9B">
      <w:pPr>
        <w:pStyle w:val="ListParagraph"/>
        <w:numPr>
          <w:ilvl w:val="0"/>
          <w:numId w:val="1"/>
        </w:numPr>
        <w:autoSpaceDE w:val="0"/>
        <w:autoSpaceDN w:val="0"/>
        <w:adjustRightInd w:val="0"/>
        <w:spacing w:line="240" w:lineRule="auto"/>
        <w:rPr>
          <w:rFonts w:cstheme="minorHAnsi"/>
          <w:sz w:val="28"/>
          <w:szCs w:val="28"/>
        </w:rPr>
      </w:pPr>
      <w:r>
        <w:rPr>
          <w:rFonts w:cstheme="minorHAnsi"/>
          <w:sz w:val="28"/>
          <w:szCs w:val="28"/>
        </w:rPr>
        <w:t>A typical classification following testing to European Standards is:</w:t>
      </w:r>
    </w:p>
    <w:p w14:paraId="544A9D7A" w14:textId="6A73312F" w:rsidR="007C5B9B" w:rsidRDefault="007C5B9B" w:rsidP="007C5B9B">
      <w:pPr>
        <w:pStyle w:val="ListParagraph"/>
        <w:numPr>
          <w:ilvl w:val="1"/>
          <w:numId w:val="1"/>
        </w:numPr>
        <w:autoSpaceDE w:val="0"/>
        <w:autoSpaceDN w:val="0"/>
        <w:adjustRightInd w:val="0"/>
        <w:spacing w:line="240" w:lineRule="auto"/>
        <w:rPr>
          <w:rFonts w:cstheme="minorHAnsi"/>
          <w:sz w:val="28"/>
          <w:szCs w:val="28"/>
        </w:rPr>
      </w:pPr>
      <w:r>
        <w:rPr>
          <w:rFonts w:cstheme="minorHAnsi"/>
          <w:sz w:val="28"/>
          <w:szCs w:val="28"/>
        </w:rPr>
        <w:t>E 30 S</w:t>
      </w:r>
      <w:r>
        <w:rPr>
          <w:rFonts w:cstheme="minorHAnsi"/>
          <w:sz w:val="28"/>
          <w:szCs w:val="28"/>
          <w:vertAlign w:val="subscript"/>
        </w:rPr>
        <w:t>a</w:t>
      </w:r>
    </w:p>
    <w:p w14:paraId="6032C3E5" w14:textId="77777777" w:rsidR="001120B1" w:rsidRPr="001120B1" w:rsidRDefault="001120B1" w:rsidP="001120B1">
      <w:pPr>
        <w:autoSpaceDE w:val="0"/>
        <w:autoSpaceDN w:val="0"/>
        <w:adjustRightInd w:val="0"/>
        <w:spacing w:line="240" w:lineRule="auto"/>
        <w:rPr>
          <w:rFonts w:cstheme="minorHAnsi"/>
          <w:sz w:val="28"/>
          <w:szCs w:val="28"/>
        </w:rPr>
      </w:pPr>
    </w:p>
    <w:p w14:paraId="30E00E2C" w14:textId="77777777" w:rsidR="007C5B9B" w:rsidRPr="007C5B9B" w:rsidRDefault="007C5B9B" w:rsidP="007C5B9B">
      <w:pPr>
        <w:autoSpaceDE w:val="0"/>
        <w:autoSpaceDN w:val="0"/>
        <w:adjustRightInd w:val="0"/>
        <w:spacing w:line="240" w:lineRule="auto"/>
        <w:rPr>
          <w:rFonts w:cstheme="minorHAnsi"/>
          <w:sz w:val="28"/>
          <w:szCs w:val="28"/>
        </w:rPr>
      </w:pPr>
    </w:p>
    <w:p w14:paraId="6194303D" w14:textId="77777777" w:rsidR="00C01066" w:rsidRDefault="00C01066" w:rsidP="00451122">
      <w:pPr>
        <w:autoSpaceDE w:val="0"/>
        <w:autoSpaceDN w:val="0"/>
        <w:adjustRightInd w:val="0"/>
        <w:spacing w:line="240" w:lineRule="auto"/>
        <w:rPr>
          <w:rFonts w:cstheme="minorHAnsi"/>
          <w:sz w:val="28"/>
          <w:szCs w:val="28"/>
        </w:rPr>
      </w:pPr>
    </w:p>
    <w:p w14:paraId="24E6CC97" w14:textId="1D3769CA" w:rsidR="009A1BF6" w:rsidRDefault="009A1BF6" w:rsidP="00451122">
      <w:pPr>
        <w:autoSpaceDE w:val="0"/>
        <w:autoSpaceDN w:val="0"/>
        <w:adjustRightInd w:val="0"/>
        <w:spacing w:line="240" w:lineRule="auto"/>
        <w:rPr>
          <w:rFonts w:cstheme="minorHAnsi"/>
          <w:sz w:val="28"/>
          <w:szCs w:val="28"/>
        </w:rPr>
      </w:pPr>
      <w:r>
        <w:rPr>
          <w:rFonts w:cstheme="minorHAnsi"/>
          <w:sz w:val="28"/>
          <w:szCs w:val="28"/>
        </w:rPr>
        <w:tab/>
      </w:r>
      <w:r>
        <w:rPr>
          <w:rFonts w:cstheme="minorHAnsi"/>
          <w:sz w:val="28"/>
          <w:szCs w:val="28"/>
        </w:rPr>
        <w:tab/>
      </w:r>
    </w:p>
    <w:p w14:paraId="797299FA" w14:textId="13757C8A" w:rsidR="009A1BF6" w:rsidRPr="009A1BF6" w:rsidRDefault="009A1BF6" w:rsidP="00451122">
      <w:pPr>
        <w:autoSpaceDE w:val="0"/>
        <w:autoSpaceDN w:val="0"/>
        <w:adjustRightInd w:val="0"/>
        <w:spacing w:line="240" w:lineRule="auto"/>
        <w:rPr>
          <w:rFonts w:cstheme="minorHAnsi"/>
          <w:sz w:val="28"/>
          <w:szCs w:val="28"/>
        </w:rPr>
      </w:pPr>
      <w:r>
        <w:rPr>
          <w:rFonts w:cstheme="minorHAnsi"/>
          <w:sz w:val="28"/>
          <w:szCs w:val="28"/>
        </w:rPr>
        <w:tab/>
      </w:r>
      <w:r>
        <w:rPr>
          <w:rFonts w:cstheme="minorHAnsi"/>
          <w:sz w:val="28"/>
          <w:szCs w:val="28"/>
        </w:rPr>
        <w:tab/>
      </w:r>
    </w:p>
    <w:sectPr w:rsidR="009A1BF6" w:rsidRPr="009A1B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C498B" w14:textId="77777777" w:rsidR="00767B68" w:rsidRDefault="00767B68" w:rsidP="00572054">
      <w:pPr>
        <w:spacing w:after="0" w:line="240" w:lineRule="auto"/>
      </w:pPr>
      <w:r>
        <w:separator/>
      </w:r>
    </w:p>
  </w:endnote>
  <w:endnote w:type="continuationSeparator" w:id="0">
    <w:p w14:paraId="0014168F" w14:textId="77777777" w:rsidR="00767B68" w:rsidRDefault="00767B68" w:rsidP="0057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2B884" w14:textId="77777777" w:rsidR="00767B68" w:rsidRDefault="00767B68" w:rsidP="00572054">
      <w:pPr>
        <w:spacing w:after="0" w:line="240" w:lineRule="auto"/>
      </w:pPr>
      <w:r>
        <w:separator/>
      </w:r>
    </w:p>
  </w:footnote>
  <w:footnote w:type="continuationSeparator" w:id="0">
    <w:p w14:paraId="0B7EA246" w14:textId="77777777" w:rsidR="00767B68" w:rsidRDefault="00767B68" w:rsidP="00572054">
      <w:pPr>
        <w:spacing w:after="0" w:line="240" w:lineRule="auto"/>
      </w:pPr>
      <w:r>
        <w:continuationSeparator/>
      </w:r>
    </w:p>
  </w:footnote>
  <w:footnote w:id="1">
    <w:p w14:paraId="4BB0EFE5" w14:textId="39105C43" w:rsidR="009C12CE" w:rsidRDefault="009C12CE">
      <w:pPr>
        <w:pStyle w:val="FootnoteText"/>
      </w:pPr>
      <w:r>
        <w:rPr>
          <w:rStyle w:val="FootnoteReference"/>
        </w:rPr>
        <w:footnoteRef/>
      </w:r>
      <w:r>
        <w:t xml:space="preserve"> The UKs recognition of CE marking ends 1</w:t>
      </w:r>
      <w:r w:rsidRPr="009C12CE">
        <w:rPr>
          <w:vertAlign w:val="superscript"/>
        </w:rPr>
        <w:t>st</w:t>
      </w:r>
      <w:r>
        <w:t xml:space="preserve"> January 2022 and all products subject to the CPR from that date must bear the UKCA mark.</w:t>
      </w:r>
    </w:p>
  </w:footnote>
  <w:footnote w:id="2">
    <w:p w14:paraId="2084EC71" w14:textId="7ABA67FB" w:rsidR="00572054" w:rsidRPr="00572054" w:rsidRDefault="00572054" w:rsidP="00572054">
      <w:pPr>
        <w:autoSpaceDE w:val="0"/>
        <w:autoSpaceDN w:val="0"/>
        <w:adjustRightInd w:val="0"/>
        <w:spacing w:after="0" w:line="240" w:lineRule="auto"/>
        <w:rPr>
          <w:rFonts w:cstheme="minorHAnsi"/>
          <w:sz w:val="18"/>
          <w:szCs w:val="18"/>
        </w:rPr>
      </w:pPr>
      <w:r>
        <w:rPr>
          <w:rStyle w:val="FootnoteReference"/>
        </w:rPr>
        <w:footnoteRef/>
      </w:r>
      <w:r>
        <w:t xml:space="preserve"> </w:t>
      </w:r>
      <w:r w:rsidRPr="00572054">
        <w:rPr>
          <w:rFonts w:cstheme="minorHAnsi"/>
          <w:sz w:val="18"/>
          <w:szCs w:val="18"/>
        </w:rPr>
        <w:t>In accordance with EN 14351-1, an External doorsets is defined as ‘doorset which separates the internal climate from the external climate of a construction for which the</w:t>
      </w:r>
      <w:r>
        <w:rPr>
          <w:rFonts w:cstheme="minorHAnsi"/>
          <w:sz w:val="18"/>
          <w:szCs w:val="18"/>
        </w:rPr>
        <w:t xml:space="preserve"> </w:t>
      </w:r>
      <w:r w:rsidRPr="00572054">
        <w:rPr>
          <w:rFonts w:cstheme="minorHAnsi"/>
          <w:sz w:val="18"/>
          <w:szCs w:val="18"/>
        </w:rPr>
        <w:t>main intended use is the passage of pedestrians. External pedestrian door assemblies fulfilling the</w:t>
      </w:r>
      <w:r>
        <w:rPr>
          <w:rFonts w:cstheme="minorHAnsi"/>
          <w:sz w:val="18"/>
          <w:szCs w:val="18"/>
        </w:rPr>
        <w:t xml:space="preserve"> </w:t>
      </w:r>
      <w:r w:rsidRPr="00572054">
        <w:rPr>
          <w:rFonts w:cstheme="minorHAnsi"/>
          <w:sz w:val="18"/>
          <w:szCs w:val="18"/>
        </w:rPr>
        <w:t>provisions of this European Standard under the responsibility of one identified manufacturer are</w:t>
      </w:r>
    </w:p>
    <w:p w14:paraId="2E727778" w14:textId="266F7A07" w:rsidR="00572054" w:rsidRPr="00572054" w:rsidRDefault="00572054" w:rsidP="00572054">
      <w:pPr>
        <w:pStyle w:val="FootnoteText"/>
        <w:rPr>
          <w:rFonts w:cstheme="minorHAnsi"/>
          <w:sz w:val="18"/>
          <w:szCs w:val="18"/>
        </w:rPr>
      </w:pPr>
      <w:r w:rsidRPr="00572054">
        <w:rPr>
          <w:rFonts w:cstheme="minorHAnsi"/>
          <w:sz w:val="18"/>
          <w:szCs w:val="18"/>
        </w:rPr>
        <w:t>considered to be external pedestrian doorsets</w:t>
      </w:r>
    </w:p>
  </w:footnote>
  <w:footnote w:id="3">
    <w:p w14:paraId="6D08F647" w14:textId="0F084115" w:rsidR="00572054" w:rsidRPr="00572054" w:rsidRDefault="00572054" w:rsidP="00572054">
      <w:pPr>
        <w:autoSpaceDE w:val="0"/>
        <w:autoSpaceDN w:val="0"/>
        <w:adjustRightInd w:val="0"/>
        <w:spacing w:after="0" w:line="240" w:lineRule="auto"/>
        <w:rPr>
          <w:rFonts w:cstheme="minorHAnsi"/>
          <w:sz w:val="18"/>
          <w:szCs w:val="18"/>
        </w:rPr>
      </w:pPr>
      <w:r>
        <w:rPr>
          <w:rStyle w:val="FootnoteReference"/>
        </w:rPr>
        <w:footnoteRef/>
      </w:r>
      <w:r>
        <w:t xml:space="preserve"> </w:t>
      </w:r>
      <w:r w:rsidRPr="00572054">
        <w:rPr>
          <w:rFonts w:cstheme="minorHAnsi"/>
          <w:sz w:val="18"/>
          <w:szCs w:val="18"/>
        </w:rPr>
        <w:t xml:space="preserve">In accordance with EN 14351-1, an Internal doorset is defined as ‘construction product which is designed and used to </w:t>
      </w:r>
      <w:r>
        <w:rPr>
          <w:rFonts w:cstheme="minorHAnsi"/>
          <w:sz w:val="18"/>
          <w:szCs w:val="18"/>
        </w:rPr>
        <w:t>c</w:t>
      </w:r>
      <w:r w:rsidRPr="00572054">
        <w:rPr>
          <w:rFonts w:cstheme="minorHAnsi"/>
          <w:sz w:val="18"/>
          <w:szCs w:val="18"/>
        </w:rPr>
        <w:t>lose a permanent opening in internal separating</w:t>
      </w:r>
      <w:r>
        <w:rPr>
          <w:rFonts w:cstheme="minorHAnsi"/>
          <w:sz w:val="18"/>
          <w:szCs w:val="18"/>
        </w:rPr>
        <w:t xml:space="preserve"> </w:t>
      </w:r>
      <w:r w:rsidRPr="00572054">
        <w:rPr>
          <w:rFonts w:cstheme="minorHAnsi"/>
          <w:sz w:val="18"/>
          <w:szCs w:val="18"/>
        </w:rPr>
        <w:t>elements and for which the main intended use is the access of pedestrians (e.g. entry doors into flats or</w:t>
      </w:r>
      <w:r>
        <w:rPr>
          <w:rFonts w:cstheme="minorHAnsi"/>
          <w:sz w:val="18"/>
          <w:szCs w:val="18"/>
        </w:rPr>
        <w:t xml:space="preserve"> </w:t>
      </w:r>
      <w:r w:rsidRPr="00572054">
        <w:rPr>
          <w:rFonts w:cstheme="minorHAnsi"/>
          <w:sz w:val="18"/>
          <w:szCs w:val="18"/>
        </w:rPr>
        <w:t>into offices and fulfilling the provision above should be considered as an internal pedestrian doorset)</w:t>
      </w:r>
    </w:p>
  </w:footnote>
  <w:footnote w:id="4">
    <w:p w14:paraId="58BEDAE2" w14:textId="0EABCC5B" w:rsidR="00AC73B9" w:rsidRDefault="00AC73B9">
      <w:pPr>
        <w:pStyle w:val="FootnoteText"/>
      </w:pPr>
      <w:r>
        <w:rPr>
          <w:rStyle w:val="FootnoteReference"/>
        </w:rPr>
        <w:footnoteRef/>
      </w:r>
      <w:r>
        <w:t xml:space="preserve"> All NBs must be accredited by a National Notifying Authority such as UKAS in the UK.</w:t>
      </w:r>
    </w:p>
  </w:footnote>
  <w:footnote w:id="5">
    <w:p w14:paraId="0C6F6356" w14:textId="1CE3995E" w:rsidR="00AC73B9" w:rsidRDefault="00AC73B9">
      <w:pPr>
        <w:pStyle w:val="FootnoteText"/>
      </w:pPr>
      <w:r>
        <w:rPr>
          <w:rStyle w:val="FootnoteReference"/>
        </w:rPr>
        <w:footnoteRef/>
      </w:r>
      <w:r>
        <w:t xml:space="preserve"> All ABs must be accredited by UKAS.</w:t>
      </w:r>
    </w:p>
  </w:footnote>
  <w:footnote w:id="6">
    <w:p w14:paraId="38B924F3" w14:textId="7B098DD3" w:rsidR="00DC2962" w:rsidRDefault="00DC2962">
      <w:pPr>
        <w:pStyle w:val="FootnoteText"/>
      </w:pPr>
      <w:r>
        <w:rPr>
          <w:rStyle w:val="FootnoteReference"/>
        </w:rPr>
        <w:footnoteRef/>
      </w:r>
      <w:r>
        <w:t xml:space="preserve"> It should be noted that ‘W’ classification is not recognised in UK Building Regulations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F2B08"/>
    <w:multiLevelType w:val="hybridMultilevel"/>
    <w:tmpl w:val="0B88C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7D1"/>
    <w:rsid w:val="000861BE"/>
    <w:rsid w:val="000F161E"/>
    <w:rsid w:val="001120B1"/>
    <w:rsid w:val="00113378"/>
    <w:rsid w:val="00121E1B"/>
    <w:rsid w:val="00451122"/>
    <w:rsid w:val="00464FAF"/>
    <w:rsid w:val="004E758F"/>
    <w:rsid w:val="00572054"/>
    <w:rsid w:val="005B07D1"/>
    <w:rsid w:val="00767B68"/>
    <w:rsid w:val="00797555"/>
    <w:rsid w:val="007C33D7"/>
    <w:rsid w:val="007C5B9B"/>
    <w:rsid w:val="0081078E"/>
    <w:rsid w:val="00947247"/>
    <w:rsid w:val="009944F6"/>
    <w:rsid w:val="009A1BF6"/>
    <w:rsid w:val="009C12CE"/>
    <w:rsid w:val="00AC73B9"/>
    <w:rsid w:val="00AE544B"/>
    <w:rsid w:val="00AF440C"/>
    <w:rsid w:val="00B74BD0"/>
    <w:rsid w:val="00B870F1"/>
    <w:rsid w:val="00B93DD4"/>
    <w:rsid w:val="00C01066"/>
    <w:rsid w:val="00C85F9F"/>
    <w:rsid w:val="00CD439C"/>
    <w:rsid w:val="00D30869"/>
    <w:rsid w:val="00DC2962"/>
    <w:rsid w:val="00E26B8B"/>
    <w:rsid w:val="00F058FA"/>
    <w:rsid w:val="00FA2A34"/>
    <w:rsid w:val="00FC1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7DBD"/>
  <w15:chartTrackingRefBased/>
  <w15:docId w15:val="{B5529570-3573-42AD-BBA3-15F2E6E2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21E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720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2054"/>
    <w:rPr>
      <w:sz w:val="20"/>
      <w:szCs w:val="20"/>
    </w:rPr>
  </w:style>
  <w:style w:type="character" w:styleId="FootnoteReference">
    <w:name w:val="footnote reference"/>
    <w:basedOn w:val="DefaultParagraphFont"/>
    <w:uiPriority w:val="99"/>
    <w:semiHidden/>
    <w:unhideWhenUsed/>
    <w:rsid w:val="00572054"/>
    <w:rPr>
      <w:vertAlign w:val="superscript"/>
    </w:rPr>
  </w:style>
  <w:style w:type="paragraph" w:styleId="ListParagraph">
    <w:name w:val="List Paragraph"/>
    <w:basedOn w:val="Normal"/>
    <w:uiPriority w:val="34"/>
    <w:qFormat/>
    <w:rsid w:val="00AF440C"/>
    <w:pPr>
      <w:ind w:left="720"/>
      <w:contextualSpacing/>
    </w:pPr>
  </w:style>
  <w:style w:type="character" w:customStyle="1" w:styleId="Heading2Char">
    <w:name w:val="Heading 2 Char"/>
    <w:basedOn w:val="DefaultParagraphFont"/>
    <w:link w:val="Heading2"/>
    <w:uiPriority w:val="9"/>
    <w:rsid w:val="00121E1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8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AAE52-7069-4A8E-B5F5-ACD00C0C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Day</dc:creator>
  <cp:keywords/>
  <dc:description/>
  <cp:lastModifiedBy>Russell Day</cp:lastModifiedBy>
  <cp:revision>4</cp:revision>
  <dcterms:created xsi:type="dcterms:W3CDTF">2020-11-23T14:43:00Z</dcterms:created>
  <dcterms:modified xsi:type="dcterms:W3CDTF">2021-04-26T12:11:00Z</dcterms:modified>
</cp:coreProperties>
</file>