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2336" w14:textId="77777777" w:rsidR="00AB37F1" w:rsidRDefault="00AB37F1">
      <w:pPr>
        <w:rPr>
          <w:sz w:val="24"/>
          <w:szCs w:val="24"/>
          <w:u w:val="single"/>
        </w:rPr>
      </w:pPr>
    </w:p>
    <w:p w14:paraId="4983B1E9" w14:textId="625E38F6" w:rsidR="00D234FF" w:rsidRPr="00AB37F1" w:rsidRDefault="00D234FF">
      <w:pPr>
        <w:rPr>
          <w:sz w:val="28"/>
          <w:szCs w:val="28"/>
          <w:u w:val="single"/>
        </w:rPr>
      </w:pPr>
      <w:r w:rsidRPr="00AB37F1">
        <w:rPr>
          <w:sz w:val="28"/>
          <w:szCs w:val="28"/>
          <w:u w:val="single"/>
        </w:rPr>
        <w:t>Foreword</w:t>
      </w:r>
    </w:p>
    <w:p w14:paraId="5C4D1321" w14:textId="77777777" w:rsidR="00D234FF" w:rsidRPr="00AB37F1" w:rsidRDefault="00D234FF">
      <w:pPr>
        <w:rPr>
          <w:sz w:val="28"/>
          <w:szCs w:val="28"/>
        </w:rPr>
      </w:pPr>
      <w:r w:rsidRPr="00AB37F1">
        <w:rPr>
          <w:sz w:val="28"/>
          <w:szCs w:val="28"/>
        </w:rPr>
        <w:t xml:space="preserve">Following the publication of the MHCLG’s ‘Advice for Building Owners of Multi-storey, Multi-occupied Residential Buildings’ on 20 January 2020, this guide is intended to clarify the process that Building Owners should adopt when reviewing Composite Fire Doorsets installed </w:t>
      </w:r>
      <w:r w:rsidR="002E4379" w:rsidRPr="00AB37F1">
        <w:rPr>
          <w:sz w:val="28"/>
          <w:szCs w:val="28"/>
        </w:rPr>
        <w:t>as flat entrance doors with</w:t>
      </w:r>
      <w:r w:rsidRPr="00AB37F1">
        <w:rPr>
          <w:sz w:val="28"/>
          <w:szCs w:val="28"/>
        </w:rPr>
        <w:t>in their properties.</w:t>
      </w:r>
    </w:p>
    <w:p w14:paraId="13E3D0E0" w14:textId="77777777" w:rsidR="00D234FF" w:rsidRPr="00AB37F1" w:rsidRDefault="00D234FF">
      <w:pPr>
        <w:rPr>
          <w:sz w:val="28"/>
          <w:szCs w:val="28"/>
        </w:rPr>
      </w:pPr>
      <w:r w:rsidRPr="00AB37F1">
        <w:rPr>
          <w:sz w:val="28"/>
          <w:szCs w:val="28"/>
        </w:rPr>
        <w:t xml:space="preserve">This guide has been developed as part of the work undertaken by the Association of Composite Door Manufacturers in conjunction with MHCLG and is intended to ensure all Building Owners operate </w:t>
      </w:r>
      <w:r w:rsidR="005760F6" w:rsidRPr="00AB37F1">
        <w:rPr>
          <w:sz w:val="28"/>
          <w:szCs w:val="28"/>
        </w:rPr>
        <w:t>a robust process in reviewing occupier safety in accordance with the Consolidated Advice Note, January 2020.</w:t>
      </w:r>
    </w:p>
    <w:p w14:paraId="25D0ECD4" w14:textId="77777777" w:rsidR="005760F6" w:rsidRPr="00AB37F1" w:rsidRDefault="005760F6">
      <w:pPr>
        <w:rPr>
          <w:sz w:val="28"/>
          <w:szCs w:val="28"/>
        </w:rPr>
      </w:pPr>
      <w:r w:rsidRPr="00AB37F1">
        <w:rPr>
          <w:sz w:val="28"/>
          <w:szCs w:val="28"/>
          <w:u w:val="single"/>
        </w:rPr>
        <w:t>Scope</w:t>
      </w:r>
    </w:p>
    <w:p w14:paraId="5B1A577B" w14:textId="77777777" w:rsidR="005760F6" w:rsidRPr="00AB37F1" w:rsidRDefault="00C777C3">
      <w:pPr>
        <w:rPr>
          <w:sz w:val="28"/>
          <w:szCs w:val="28"/>
        </w:rPr>
      </w:pPr>
      <w:r w:rsidRPr="00AB37F1">
        <w:rPr>
          <w:sz w:val="28"/>
          <w:szCs w:val="28"/>
        </w:rPr>
        <w:t xml:space="preserve">This guide to Composite Fire Resisting Doorsets is intended to enable Building Owners to assess the </w:t>
      </w:r>
      <w:r w:rsidR="002E4379" w:rsidRPr="00AB37F1">
        <w:rPr>
          <w:sz w:val="28"/>
          <w:szCs w:val="28"/>
        </w:rPr>
        <w:t xml:space="preserve">flat entrance </w:t>
      </w:r>
      <w:r w:rsidRPr="00AB37F1">
        <w:rPr>
          <w:sz w:val="28"/>
          <w:szCs w:val="28"/>
        </w:rPr>
        <w:t>doorsets installed in their properties prior to May 2018 and is based on:</w:t>
      </w:r>
    </w:p>
    <w:p w14:paraId="1C9AFB0D" w14:textId="77777777" w:rsidR="00C777C3" w:rsidRPr="00AB37F1" w:rsidRDefault="00C777C3" w:rsidP="00C777C3">
      <w:pPr>
        <w:pStyle w:val="ListParagraph"/>
        <w:numPr>
          <w:ilvl w:val="0"/>
          <w:numId w:val="1"/>
        </w:numPr>
        <w:rPr>
          <w:sz w:val="28"/>
          <w:szCs w:val="28"/>
        </w:rPr>
      </w:pPr>
      <w:r w:rsidRPr="00AB37F1">
        <w:rPr>
          <w:sz w:val="28"/>
          <w:szCs w:val="28"/>
        </w:rPr>
        <w:t xml:space="preserve">The LGA </w:t>
      </w:r>
      <w:bookmarkStart w:id="0" w:name="_Hlk34643060"/>
      <w:r w:rsidRPr="00AB37F1">
        <w:rPr>
          <w:sz w:val="28"/>
          <w:szCs w:val="28"/>
        </w:rPr>
        <w:t xml:space="preserve">publication ‘Fire Safety in Purpose-Built Blocks of Flats’, </w:t>
      </w:r>
      <w:bookmarkEnd w:id="0"/>
      <w:r w:rsidRPr="00AB37F1">
        <w:rPr>
          <w:sz w:val="28"/>
          <w:szCs w:val="28"/>
        </w:rPr>
        <w:t>published in July 2011 following the Lakanal House fire in July 2009</w:t>
      </w:r>
    </w:p>
    <w:p w14:paraId="009DF4BF" w14:textId="77777777" w:rsidR="00C777C3" w:rsidRPr="00AB37F1" w:rsidRDefault="00C777C3" w:rsidP="00C777C3">
      <w:pPr>
        <w:pStyle w:val="ListParagraph"/>
        <w:numPr>
          <w:ilvl w:val="0"/>
          <w:numId w:val="1"/>
        </w:numPr>
        <w:rPr>
          <w:sz w:val="28"/>
          <w:szCs w:val="28"/>
        </w:rPr>
      </w:pPr>
      <w:r w:rsidRPr="00AB37F1">
        <w:rPr>
          <w:sz w:val="28"/>
          <w:szCs w:val="28"/>
        </w:rPr>
        <w:t>MHCLG’s Composite Fire Testing program undertaken in 2018</w:t>
      </w:r>
    </w:p>
    <w:p w14:paraId="46C300C1" w14:textId="77777777" w:rsidR="00C777C3" w:rsidRPr="00AB37F1" w:rsidRDefault="00C777C3" w:rsidP="00C777C3">
      <w:pPr>
        <w:pStyle w:val="ListParagraph"/>
        <w:numPr>
          <w:ilvl w:val="0"/>
          <w:numId w:val="1"/>
        </w:numPr>
        <w:rPr>
          <w:sz w:val="28"/>
          <w:szCs w:val="28"/>
        </w:rPr>
      </w:pPr>
      <w:r w:rsidRPr="00AB37F1">
        <w:rPr>
          <w:sz w:val="28"/>
          <w:szCs w:val="28"/>
        </w:rPr>
        <w:t>Annex A of MHCLG’s ‘Advice for Building Owners of Multi-storey, Multi-occupied Residential Buildings’ published on 20 January 2020</w:t>
      </w:r>
    </w:p>
    <w:p w14:paraId="4200BCE3" w14:textId="77777777" w:rsidR="00C777C3" w:rsidRPr="00AB37F1" w:rsidRDefault="00C777C3" w:rsidP="00C777C3">
      <w:pPr>
        <w:rPr>
          <w:sz w:val="28"/>
          <w:szCs w:val="28"/>
          <w:u w:val="single"/>
        </w:rPr>
      </w:pPr>
      <w:r w:rsidRPr="00AB37F1">
        <w:rPr>
          <w:sz w:val="28"/>
          <w:szCs w:val="28"/>
          <w:u w:val="single"/>
        </w:rPr>
        <w:t>The assessment process</w:t>
      </w:r>
      <w:r w:rsidR="00C07E45" w:rsidRPr="00AB37F1">
        <w:rPr>
          <w:sz w:val="28"/>
          <w:szCs w:val="28"/>
          <w:u w:val="single"/>
        </w:rPr>
        <w:t xml:space="preserve"> basis</w:t>
      </w:r>
    </w:p>
    <w:p w14:paraId="315B2E6D" w14:textId="57E33F26" w:rsidR="002E4379" w:rsidRPr="00AB37F1" w:rsidRDefault="00C777C3" w:rsidP="00C777C3">
      <w:pPr>
        <w:rPr>
          <w:sz w:val="28"/>
          <w:szCs w:val="28"/>
        </w:rPr>
      </w:pPr>
      <w:r w:rsidRPr="00AB37F1">
        <w:rPr>
          <w:sz w:val="28"/>
          <w:szCs w:val="28"/>
        </w:rPr>
        <w:t xml:space="preserve">Composite Fire Resisting Doorsets installed prior to May 2018, referred to as Legacy </w:t>
      </w:r>
      <w:r w:rsidR="003A25D8" w:rsidRPr="00AB37F1">
        <w:rPr>
          <w:sz w:val="28"/>
          <w:szCs w:val="28"/>
        </w:rPr>
        <w:t>D</w:t>
      </w:r>
      <w:r w:rsidRPr="00AB37F1">
        <w:rPr>
          <w:sz w:val="28"/>
          <w:szCs w:val="28"/>
        </w:rPr>
        <w:t>oorsets, should be reviewed following a Risk Assessment</w:t>
      </w:r>
      <w:r w:rsidR="002E4379" w:rsidRPr="00AB37F1">
        <w:rPr>
          <w:sz w:val="28"/>
          <w:szCs w:val="28"/>
        </w:rPr>
        <w:t xml:space="preserve"> </w:t>
      </w:r>
      <w:r w:rsidR="003A25D8" w:rsidRPr="00AB37F1">
        <w:rPr>
          <w:sz w:val="28"/>
          <w:szCs w:val="28"/>
        </w:rPr>
        <w:t xml:space="preserve">carried out </w:t>
      </w:r>
      <w:r w:rsidR="002E4379" w:rsidRPr="00AB37F1">
        <w:rPr>
          <w:sz w:val="28"/>
          <w:szCs w:val="28"/>
        </w:rPr>
        <w:t>as follows:</w:t>
      </w:r>
    </w:p>
    <w:p w14:paraId="1210DCE6" w14:textId="0137D878" w:rsidR="002E4379" w:rsidRPr="00AB37F1" w:rsidRDefault="003A25D8" w:rsidP="002E4379">
      <w:pPr>
        <w:pStyle w:val="ListParagraph"/>
        <w:numPr>
          <w:ilvl w:val="0"/>
          <w:numId w:val="2"/>
        </w:numPr>
        <w:rPr>
          <w:sz w:val="28"/>
          <w:szCs w:val="28"/>
        </w:rPr>
      </w:pPr>
      <w:r w:rsidRPr="00AB37F1">
        <w:rPr>
          <w:sz w:val="28"/>
          <w:szCs w:val="28"/>
        </w:rPr>
        <w:t>Risk assessment c</w:t>
      </w:r>
      <w:r w:rsidR="00C777C3" w:rsidRPr="00AB37F1">
        <w:rPr>
          <w:sz w:val="28"/>
          <w:szCs w:val="28"/>
        </w:rPr>
        <w:t xml:space="preserve">arried out by a suitably qualified </w:t>
      </w:r>
      <w:r w:rsidRPr="00AB37F1">
        <w:rPr>
          <w:sz w:val="28"/>
          <w:szCs w:val="28"/>
        </w:rPr>
        <w:t>risk assessor</w:t>
      </w:r>
      <w:r w:rsidR="00C777C3" w:rsidRPr="00AB37F1">
        <w:rPr>
          <w:sz w:val="28"/>
          <w:szCs w:val="28"/>
        </w:rPr>
        <w:t xml:space="preserve"> </w:t>
      </w:r>
    </w:p>
    <w:p w14:paraId="2BF71A1B" w14:textId="77777777" w:rsidR="00C777C3" w:rsidRPr="00AB37F1" w:rsidRDefault="00C777C3" w:rsidP="002E4379">
      <w:pPr>
        <w:pStyle w:val="ListParagraph"/>
        <w:numPr>
          <w:ilvl w:val="0"/>
          <w:numId w:val="2"/>
        </w:numPr>
        <w:rPr>
          <w:sz w:val="28"/>
          <w:szCs w:val="28"/>
        </w:rPr>
      </w:pPr>
      <w:r w:rsidRPr="00AB37F1">
        <w:rPr>
          <w:sz w:val="28"/>
          <w:szCs w:val="28"/>
        </w:rPr>
        <w:t>The risk assessment should have been carried out within the last 18 months</w:t>
      </w:r>
    </w:p>
    <w:p w14:paraId="41B13A47" w14:textId="77777777" w:rsidR="002E4379" w:rsidRPr="00AB37F1" w:rsidRDefault="002E4379" w:rsidP="002E4379">
      <w:pPr>
        <w:pStyle w:val="ListParagraph"/>
        <w:numPr>
          <w:ilvl w:val="0"/>
          <w:numId w:val="2"/>
        </w:numPr>
        <w:rPr>
          <w:sz w:val="28"/>
          <w:szCs w:val="28"/>
        </w:rPr>
      </w:pPr>
      <w:r w:rsidRPr="00AB37F1">
        <w:rPr>
          <w:sz w:val="28"/>
          <w:szCs w:val="28"/>
        </w:rPr>
        <w:t>The risk assessment observations should be reviewed in accordance with the publication ‘Fire Safety in Purpose-Built Blocks of Flats’ to:</w:t>
      </w:r>
    </w:p>
    <w:p w14:paraId="18142BE8" w14:textId="0F199BCF" w:rsidR="003A25D8" w:rsidRPr="00AB37F1" w:rsidRDefault="002E4379" w:rsidP="003A25D8">
      <w:pPr>
        <w:pStyle w:val="ListParagraph"/>
        <w:numPr>
          <w:ilvl w:val="1"/>
          <w:numId w:val="2"/>
        </w:numPr>
        <w:tabs>
          <w:tab w:val="center" w:pos="2160"/>
          <w:tab w:val="center" w:pos="6660"/>
          <w:tab w:val="right" w:leader="dot" w:pos="8100"/>
        </w:tabs>
        <w:spacing w:line="360" w:lineRule="atLeast"/>
        <w:rPr>
          <w:sz w:val="28"/>
          <w:szCs w:val="28"/>
          <w:u w:val="single"/>
        </w:rPr>
      </w:pPr>
      <w:r w:rsidRPr="00AB37F1">
        <w:rPr>
          <w:sz w:val="28"/>
          <w:szCs w:val="28"/>
        </w:rPr>
        <w:lastRenderedPageBreak/>
        <w:t xml:space="preserve">Determine the length of fire resistance required of the flat entrance doorsets, based </w:t>
      </w:r>
      <w:r w:rsidR="003A25D8" w:rsidRPr="00AB37F1">
        <w:rPr>
          <w:sz w:val="28"/>
          <w:szCs w:val="28"/>
        </w:rPr>
        <w:t>on clauses 30, 31 &amp; 32 of</w:t>
      </w:r>
      <w:r w:rsidRPr="00AB37F1">
        <w:rPr>
          <w:sz w:val="28"/>
          <w:szCs w:val="28"/>
        </w:rPr>
        <w:t xml:space="preserve"> </w:t>
      </w:r>
      <w:r w:rsidR="003A25D8" w:rsidRPr="00AB37F1">
        <w:rPr>
          <w:sz w:val="28"/>
          <w:szCs w:val="28"/>
        </w:rPr>
        <w:t>Annex A</w:t>
      </w:r>
      <w:r w:rsidRPr="00AB37F1">
        <w:rPr>
          <w:sz w:val="28"/>
          <w:szCs w:val="28"/>
        </w:rPr>
        <w:t xml:space="preserve">, </w:t>
      </w:r>
      <w:r w:rsidR="003A25D8" w:rsidRPr="00AB37F1">
        <w:rPr>
          <w:sz w:val="28"/>
          <w:szCs w:val="28"/>
        </w:rPr>
        <w:t>‘Advice for Building Owners</w:t>
      </w:r>
      <w:r w:rsidR="003A25D8" w:rsidRPr="00AB37F1">
        <w:rPr>
          <w:sz w:val="28"/>
          <w:szCs w:val="28"/>
          <w:vertAlign w:val="superscript"/>
        </w:rPr>
        <w:footnoteReference w:id="1"/>
      </w:r>
      <w:r w:rsidR="003A25D8" w:rsidRPr="00AB37F1">
        <w:rPr>
          <w:sz w:val="28"/>
          <w:szCs w:val="28"/>
        </w:rPr>
        <w:t xml:space="preserve"> on assurance and assessment of flat entrance fire doors’, and Appendix A of Annex A</w:t>
      </w:r>
      <w:r w:rsidR="007A4FD9" w:rsidRPr="00AB37F1">
        <w:rPr>
          <w:sz w:val="28"/>
          <w:szCs w:val="28"/>
        </w:rPr>
        <w:t>.</w:t>
      </w:r>
    </w:p>
    <w:p w14:paraId="1ECFC712" w14:textId="7F55C284" w:rsidR="002E4379" w:rsidRPr="00AB37F1" w:rsidRDefault="00C07E45" w:rsidP="003A25D8">
      <w:pPr>
        <w:tabs>
          <w:tab w:val="center" w:pos="2160"/>
          <w:tab w:val="center" w:pos="6660"/>
          <w:tab w:val="right" w:leader="dot" w:pos="8100"/>
        </w:tabs>
        <w:spacing w:line="360" w:lineRule="atLeast"/>
        <w:ind w:left="-300"/>
        <w:rPr>
          <w:sz w:val="28"/>
          <w:szCs w:val="28"/>
          <w:u w:val="single"/>
        </w:rPr>
      </w:pPr>
      <w:r w:rsidRPr="00AB37F1">
        <w:rPr>
          <w:sz w:val="28"/>
          <w:szCs w:val="28"/>
          <w:u w:val="single"/>
        </w:rPr>
        <w:t>The Assessment Process</w:t>
      </w:r>
    </w:p>
    <w:p w14:paraId="2414D25C" w14:textId="74AF57FE" w:rsidR="00A55E9B" w:rsidRPr="00AB37F1" w:rsidRDefault="007A4FD9" w:rsidP="00A55E9B">
      <w:pPr>
        <w:ind w:left="60"/>
        <w:rPr>
          <w:sz w:val="28"/>
          <w:szCs w:val="28"/>
        </w:rPr>
      </w:pPr>
      <w:r w:rsidRPr="00AB37F1">
        <w:rPr>
          <w:sz w:val="28"/>
          <w:szCs w:val="28"/>
        </w:rPr>
        <w:t>Legacy</w:t>
      </w:r>
      <w:r w:rsidR="00BB63C1" w:rsidRPr="00AB37F1">
        <w:rPr>
          <w:sz w:val="28"/>
          <w:szCs w:val="28"/>
        </w:rPr>
        <w:t xml:space="preserve"> </w:t>
      </w:r>
      <w:r w:rsidRPr="00AB37F1">
        <w:rPr>
          <w:sz w:val="28"/>
          <w:szCs w:val="28"/>
        </w:rPr>
        <w:t>F</w:t>
      </w:r>
      <w:r w:rsidR="00BB63C1" w:rsidRPr="00AB37F1">
        <w:rPr>
          <w:sz w:val="28"/>
          <w:szCs w:val="28"/>
        </w:rPr>
        <w:t>ire</w:t>
      </w:r>
      <w:r w:rsidRPr="00AB37F1">
        <w:rPr>
          <w:sz w:val="28"/>
          <w:szCs w:val="28"/>
        </w:rPr>
        <w:t>-R</w:t>
      </w:r>
      <w:r w:rsidR="00BB63C1" w:rsidRPr="00AB37F1">
        <w:rPr>
          <w:sz w:val="28"/>
          <w:szCs w:val="28"/>
        </w:rPr>
        <w:t xml:space="preserve">esistant </w:t>
      </w:r>
      <w:r w:rsidRPr="00AB37F1">
        <w:rPr>
          <w:sz w:val="28"/>
          <w:szCs w:val="28"/>
        </w:rPr>
        <w:t>D</w:t>
      </w:r>
      <w:r w:rsidR="00BB63C1" w:rsidRPr="00AB37F1">
        <w:rPr>
          <w:sz w:val="28"/>
          <w:szCs w:val="28"/>
        </w:rPr>
        <w:t>oorsets installed as flat entrance doors in purpose-built blocks of flats installed prior to May 2018 should be reviewed by Building Owners in accordance with the process detailed below.</w:t>
      </w:r>
    </w:p>
    <w:p w14:paraId="4DD6DE93" w14:textId="77777777" w:rsidR="00A55E9B" w:rsidRPr="00AB37F1" w:rsidRDefault="0014299E" w:rsidP="009532C7">
      <w:pPr>
        <w:pStyle w:val="ListParagraph"/>
        <w:numPr>
          <w:ilvl w:val="0"/>
          <w:numId w:val="9"/>
        </w:numPr>
        <w:rPr>
          <w:sz w:val="28"/>
          <w:szCs w:val="28"/>
        </w:rPr>
      </w:pPr>
      <w:r w:rsidRPr="00AB37F1">
        <w:rPr>
          <w:sz w:val="28"/>
          <w:szCs w:val="28"/>
        </w:rPr>
        <w:t xml:space="preserve">Building Owner </w:t>
      </w:r>
      <w:r w:rsidR="00A55E9B" w:rsidRPr="00AB37F1">
        <w:rPr>
          <w:sz w:val="28"/>
          <w:szCs w:val="28"/>
        </w:rPr>
        <w:t xml:space="preserve">to </w:t>
      </w:r>
      <w:r w:rsidRPr="00AB37F1">
        <w:rPr>
          <w:sz w:val="28"/>
          <w:szCs w:val="28"/>
        </w:rPr>
        <w:t>identify those blocks of flats with Composite Fire Resisting Flat Entrance Doorsets that were installed prior to May 2018</w:t>
      </w:r>
      <w:r w:rsidRPr="00AB37F1">
        <w:rPr>
          <w:rStyle w:val="FootnoteReference"/>
          <w:sz w:val="28"/>
          <w:szCs w:val="28"/>
        </w:rPr>
        <w:footnoteReference w:id="2"/>
      </w:r>
      <w:r w:rsidR="00A55E9B" w:rsidRPr="00AB37F1">
        <w:rPr>
          <w:sz w:val="28"/>
          <w:szCs w:val="28"/>
        </w:rPr>
        <w:t>.</w:t>
      </w:r>
    </w:p>
    <w:p w14:paraId="47258E5C" w14:textId="77777777" w:rsidR="00A55E9B" w:rsidRPr="00AB37F1" w:rsidRDefault="00A55E9B" w:rsidP="009532C7">
      <w:pPr>
        <w:pStyle w:val="ListParagraph"/>
        <w:numPr>
          <w:ilvl w:val="0"/>
          <w:numId w:val="9"/>
        </w:numPr>
        <w:rPr>
          <w:sz w:val="28"/>
          <w:szCs w:val="28"/>
        </w:rPr>
      </w:pPr>
      <w:r w:rsidRPr="00AB37F1">
        <w:rPr>
          <w:sz w:val="28"/>
          <w:szCs w:val="28"/>
        </w:rPr>
        <w:t xml:space="preserve">Has a fire risk assessment been carried out in the last 18 </w:t>
      </w:r>
      <w:proofErr w:type="gramStart"/>
      <w:r w:rsidRPr="00AB37F1">
        <w:rPr>
          <w:sz w:val="28"/>
          <w:szCs w:val="28"/>
        </w:rPr>
        <w:t>months.</w:t>
      </w:r>
      <w:proofErr w:type="gramEnd"/>
    </w:p>
    <w:p w14:paraId="06D33AEA" w14:textId="77777777" w:rsidR="00E1708F" w:rsidRPr="00AB37F1" w:rsidRDefault="00E1708F" w:rsidP="00AB37F1">
      <w:pPr>
        <w:pStyle w:val="ListParagraph"/>
        <w:numPr>
          <w:ilvl w:val="1"/>
          <w:numId w:val="9"/>
        </w:numPr>
        <w:rPr>
          <w:sz w:val="28"/>
          <w:szCs w:val="28"/>
        </w:rPr>
      </w:pPr>
      <w:r w:rsidRPr="00AB37F1">
        <w:rPr>
          <w:sz w:val="28"/>
          <w:szCs w:val="28"/>
        </w:rPr>
        <w:t>If a fire risk assessment has not been carried out</w:t>
      </w:r>
      <w:r w:rsidR="00A55E9B" w:rsidRPr="00AB37F1">
        <w:rPr>
          <w:sz w:val="28"/>
          <w:szCs w:val="28"/>
        </w:rPr>
        <w:t xml:space="preserve"> within the last 18 months</w:t>
      </w:r>
      <w:r w:rsidRPr="00AB37F1">
        <w:rPr>
          <w:sz w:val="28"/>
          <w:szCs w:val="28"/>
        </w:rPr>
        <w:t xml:space="preserve">, a new fire risk assessment should be undertaken by a </w:t>
      </w:r>
      <w:r w:rsidR="00AC4EE1" w:rsidRPr="00AB37F1">
        <w:rPr>
          <w:sz w:val="28"/>
          <w:szCs w:val="28"/>
        </w:rPr>
        <w:t>suitably</w:t>
      </w:r>
      <w:r w:rsidRPr="00AB37F1">
        <w:rPr>
          <w:sz w:val="28"/>
          <w:szCs w:val="28"/>
        </w:rPr>
        <w:t xml:space="preserve"> qualified </w:t>
      </w:r>
      <w:r w:rsidR="00AC4EE1" w:rsidRPr="00AB37F1">
        <w:rPr>
          <w:sz w:val="28"/>
          <w:szCs w:val="28"/>
        </w:rPr>
        <w:t xml:space="preserve">competent </w:t>
      </w:r>
      <w:r w:rsidRPr="00AB37F1">
        <w:rPr>
          <w:sz w:val="28"/>
          <w:szCs w:val="28"/>
        </w:rPr>
        <w:t>assessor.</w:t>
      </w:r>
    </w:p>
    <w:p w14:paraId="7087CE2A" w14:textId="77777777" w:rsidR="00A55E9B" w:rsidRPr="00AB37F1" w:rsidRDefault="00A55E9B" w:rsidP="009532C7">
      <w:pPr>
        <w:pStyle w:val="ListParagraph"/>
        <w:numPr>
          <w:ilvl w:val="0"/>
          <w:numId w:val="9"/>
        </w:numPr>
        <w:rPr>
          <w:sz w:val="28"/>
          <w:szCs w:val="28"/>
        </w:rPr>
      </w:pPr>
      <w:r w:rsidRPr="00AB37F1">
        <w:rPr>
          <w:sz w:val="28"/>
          <w:szCs w:val="28"/>
        </w:rPr>
        <w:t>The required duration of resistance to fire should be determined following a recent (in the last 18 months) fire risk assessment and using the guide published by the LGA, ‘Fire Safety in purpose-Built Blocks of Flats’, published in July 2011 following the fire at Lakanal House in 2009.</w:t>
      </w:r>
    </w:p>
    <w:p w14:paraId="24FD1313" w14:textId="366E4535" w:rsidR="00A55E9B" w:rsidRPr="00AB37F1" w:rsidRDefault="00A55E9B" w:rsidP="009532C7">
      <w:pPr>
        <w:pStyle w:val="ListParagraph"/>
        <w:numPr>
          <w:ilvl w:val="1"/>
          <w:numId w:val="9"/>
        </w:numPr>
        <w:rPr>
          <w:sz w:val="28"/>
          <w:szCs w:val="28"/>
        </w:rPr>
      </w:pPr>
      <w:r w:rsidRPr="00AB37F1">
        <w:rPr>
          <w:sz w:val="28"/>
          <w:szCs w:val="28"/>
        </w:rPr>
        <w:t xml:space="preserve">Appendix A describes the way </w:t>
      </w:r>
      <w:r w:rsidR="00EF3522" w:rsidRPr="00AB37F1">
        <w:rPr>
          <w:sz w:val="28"/>
          <w:szCs w:val="28"/>
        </w:rPr>
        <w:t xml:space="preserve">in which </w:t>
      </w:r>
      <w:r w:rsidRPr="00AB37F1">
        <w:rPr>
          <w:sz w:val="28"/>
          <w:szCs w:val="28"/>
        </w:rPr>
        <w:t>the LGA guide should be interpreted</w:t>
      </w:r>
    </w:p>
    <w:p w14:paraId="1BD19672" w14:textId="77777777" w:rsidR="00672EED" w:rsidRPr="00AB37F1" w:rsidRDefault="00672EED" w:rsidP="009532C7">
      <w:pPr>
        <w:pStyle w:val="ListParagraph"/>
        <w:numPr>
          <w:ilvl w:val="0"/>
          <w:numId w:val="9"/>
        </w:numPr>
        <w:rPr>
          <w:sz w:val="28"/>
          <w:szCs w:val="28"/>
        </w:rPr>
      </w:pPr>
      <w:r w:rsidRPr="00AB37F1">
        <w:rPr>
          <w:sz w:val="28"/>
          <w:szCs w:val="28"/>
        </w:rPr>
        <w:t>The fire risk assessor and/or responsible person should refer to ‘Annex A – Advice for Building Owners on assurance and assessment of flat entrance doors’ published by MHCLG on 20 January 2020.</w:t>
      </w:r>
    </w:p>
    <w:p w14:paraId="52856563" w14:textId="63805BEB" w:rsidR="00672EED" w:rsidRDefault="00672EED" w:rsidP="009532C7">
      <w:pPr>
        <w:pStyle w:val="ListParagraph"/>
        <w:numPr>
          <w:ilvl w:val="1"/>
          <w:numId w:val="9"/>
        </w:numPr>
        <w:rPr>
          <w:sz w:val="28"/>
          <w:szCs w:val="28"/>
        </w:rPr>
      </w:pPr>
      <w:r w:rsidRPr="00AB37F1">
        <w:rPr>
          <w:sz w:val="28"/>
          <w:szCs w:val="28"/>
        </w:rPr>
        <w:t>Refer to clause</w:t>
      </w:r>
      <w:r w:rsidR="00AB37F1" w:rsidRPr="00AB37F1">
        <w:rPr>
          <w:sz w:val="28"/>
          <w:szCs w:val="28"/>
        </w:rPr>
        <w:t>s</w:t>
      </w:r>
      <w:r w:rsidRPr="00AB37F1">
        <w:rPr>
          <w:sz w:val="28"/>
          <w:szCs w:val="28"/>
        </w:rPr>
        <w:t xml:space="preserve"> 30 </w:t>
      </w:r>
      <w:r w:rsidR="00AB37F1" w:rsidRPr="00AB37F1">
        <w:rPr>
          <w:sz w:val="28"/>
          <w:szCs w:val="28"/>
        </w:rPr>
        <w:t>to</w:t>
      </w:r>
      <w:r w:rsidRPr="00AB37F1">
        <w:rPr>
          <w:sz w:val="28"/>
          <w:szCs w:val="28"/>
        </w:rPr>
        <w:t xml:space="preserve"> 3</w:t>
      </w:r>
      <w:r w:rsidR="001238AB" w:rsidRPr="00AB37F1">
        <w:rPr>
          <w:sz w:val="28"/>
          <w:szCs w:val="28"/>
        </w:rPr>
        <w:t>2</w:t>
      </w:r>
      <w:r w:rsidRPr="00AB37F1">
        <w:rPr>
          <w:sz w:val="28"/>
          <w:szCs w:val="28"/>
        </w:rPr>
        <w:t xml:space="preserve"> to determine whether single sided testing from the flat side is a</w:t>
      </w:r>
      <w:r w:rsidR="00AB37F1" w:rsidRPr="00AB37F1">
        <w:rPr>
          <w:sz w:val="28"/>
          <w:szCs w:val="28"/>
        </w:rPr>
        <w:t>ppropriate</w:t>
      </w:r>
    </w:p>
    <w:p w14:paraId="4E532B60" w14:textId="3A97E2FD" w:rsidR="00332118" w:rsidRPr="00AB37F1" w:rsidRDefault="00332118" w:rsidP="009532C7">
      <w:pPr>
        <w:pStyle w:val="ListParagraph"/>
        <w:numPr>
          <w:ilvl w:val="1"/>
          <w:numId w:val="9"/>
        </w:numPr>
        <w:rPr>
          <w:sz w:val="28"/>
          <w:szCs w:val="28"/>
        </w:rPr>
      </w:pPr>
      <w:r>
        <w:rPr>
          <w:sz w:val="28"/>
          <w:szCs w:val="28"/>
        </w:rPr>
        <w:lastRenderedPageBreak/>
        <w:t>Using the flowchart in Annex A, determine the minimum period of fire resistance that is acceptable based on the design/layout of the common areas</w:t>
      </w:r>
    </w:p>
    <w:p w14:paraId="628F55DD" w14:textId="1CEFF508" w:rsidR="00672EED" w:rsidRPr="00AB37F1" w:rsidRDefault="00672EED" w:rsidP="009532C7">
      <w:pPr>
        <w:pStyle w:val="ListParagraph"/>
        <w:numPr>
          <w:ilvl w:val="0"/>
          <w:numId w:val="9"/>
        </w:numPr>
        <w:rPr>
          <w:sz w:val="28"/>
          <w:szCs w:val="28"/>
        </w:rPr>
      </w:pPr>
      <w:r w:rsidRPr="00AB37F1">
        <w:rPr>
          <w:sz w:val="28"/>
          <w:szCs w:val="28"/>
        </w:rPr>
        <w:t>If single sided testing is a</w:t>
      </w:r>
      <w:r w:rsidR="00AB37F1" w:rsidRPr="00AB37F1">
        <w:rPr>
          <w:sz w:val="28"/>
          <w:szCs w:val="28"/>
        </w:rPr>
        <w:t>ppropriate</w:t>
      </w:r>
      <w:r w:rsidRPr="00AB37F1">
        <w:rPr>
          <w:sz w:val="28"/>
          <w:szCs w:val="28"/>
        </w:rPr>
        <w:t>:</w:t>
      </w:r>
    </w:p>
    <w:p w14:paraId="2FDDE364" w14:textId="77777777" w:rsidR="00AC4EE1" w:rsidRPr="00AB37F1" w:rsidRDefault="00AC4EE1" w:rsidP="009532C7">
      <w:pPr>
        <w:pStyle w:val="ListParagraph"/>
        <w:numPr>
          <w:ilvl w:val="1"/>
          <w:numId w:val="9"/>
        </w:numPr>
        <w:rPr>
          <w:sz w:val="28"/>
          <w:szCs w:val="28"/>
        </w:rPr>
      </w:pPr>
      <w:r w:rsidRPr="00AB37F1">
        <w:rPr>
          <w:sz w:val="28"/>
          <w:szCs w:val="28"/>
        </w:rPr>
        <w:t>Review the cont</w:t>
      </w:r>
      <w:r w:rsidR="009532C7" w:rsidRPr="00AB37F1">
        <w:rPr>
          <w:sz w:val="28"/>
          <w:szCs w:val="28"/>
        </w:rPr>
        <w:t>r</w:t>
      </w:r>
      <w:r w:rsidRPr="00AB37F1">
        <w:rPr>
          <w:sz w:val="28"/>
          <w:szCs w:val="28"/>
        </w:rPr>
        <w:t>acts for the installation of the existing doorsets and identify the doorsets manufacturer</w:t>
      </w:r>
    </w:p>
    <w:p w14:paraId="6E694094" w14:textId="3BA35318" w:rsidR="00672EED" w:rsidRPr="00AB37F1" w:rsidRDefault="00672EED" w:rsidP="009532C7">
      <w:pPr>
        <w:pStyle w:val="ListParagraph"/>
        <w:numPr>
          <w:ilvl w:val="2"/>
          <w:numId w:val="9"/>
        </w:numPr>
        <w:rPr>
          <w:sz w:val="28"/>
          <w:szCs w:val="28"/>
        </w:rPr>
      </w:pPr>
      <w:r w:rsidRPr="00AB37F1">
        <w:rPr>
          <w:sz w:val="28"/>
          <w:szCs w:val="28"/>
        </w:rPr>
        <w:t xml:space="preserve">If the doorset manufacturer can be identified refer to </w:t>
      </w:r>
      <w:r w:rsidR="00EF3522" w:rsidRPr="00AB37F1">
        <w:rPr>
          <w:sz w:val="28"/>
          <w:szCs w:val="28"/>
        </w:rPr>
        <w:t xml:space="preserve">clause </w:t>
      </w:r>
      <w:r w:rsidR="00AB37F1" w:rsidRPr="00AB37F1">
        <w:rPr>
          <w:sz w:val="28"/>
          <w:szCs w:val="28"/>
        </w:rPr>
        <w:t>6</w:t>
      </w:r>
      <w:r w:rsidRPr="00AB37F1">
        <w:rPr>
          <w:sz w:val="28"/>
          <w:szCs w:val="28"/>
        </w:rPr>
        <w:t>. below</w:t>
      </w:r>
    </w:p>
    <w:p w14:paraId="56DF5205" w14:textId="77777777" w:rsidR="00AC4EE1" w:rsidRPr="00AB37F1" w:rsidRDefault="00AC4EE1" w:rsidP="009532C7">
      <w:pPr>
        <w:pStyle w:val="ListParagraph"/>
        <w:numPr>
          <w:ilvl w:val="2"/>
          <w:numId w:val="9"/>
        </w:numPr>
        <w:rPr>
          <w:sz w:val="28"/>
          <w:szCs w:val="28"/>
        </w:rPr>
      </w:pPr>
      <w:r w:rsidRPr="00AB37F1">
        <w:rPr>
          <w:sz w:val="28"/>
          <w:szCs w:val="28"/>
        </w:rPr>
        <w:t>If the doorset manufacturer cannot be identified or if the doorset manufacturer is no longer trading</w:t>
      </w:r>
    </w:p>
    <w:p w14:paraId="505A6527" w14:textId="77777777" w:rsidR="00AC4EE1" w:rsidRPr="00AB37F1" w:rsidRDefault="00AC4EE1" w:rsidP="009532C7">
      <w:pPr>
        <w:pStyle w:val="ListParagraph"/>
        <w:numPr>
          <w:ilvl w:val="3"/>
          <w:numId w:val="9"/>
        </w:numPr>
        <w:rPr>
          <w:sz w:val="28"/>
          <w:szCs w:val="28"/>
        </w:rPr>
      </w:pPr>
      <w:r w:rsidRPr="00AB37F1">
        <w:rPr>
          <w:sz w:val="28"/>
          <w:szCs w:val="28"/>
        </w:rPr>
        <w:t>The Building Owner/Responsible person should take advice from a suitably qualified competent person to determine whether the existing doorsets are likely to provide the protection (fire resistance) required</w:t>
      </w:r>
    </w:p>
    <w:p w14:paraId="36E7731E" w14:textId="1843A0CB" w:rsidR="00AC4EE1" w:rsidRPr="00AB37F1" w:rsidRDefault="00AC4EE1" w:rsidP="009532C7">
      <w:pPr>
        <w:pStyle w:val="ListParagraph"/>
        <w:numPr>
          <w:ilvl w:val="4"/>
          <w:numId w:val="9"/>
        </w:numPr>
        <w:rPr>
          <w:sz w:val="28"/>
          <w:szCs w:val="28"/>
        </w:rPr>
      </w:pPr>
      <w:r w:rsidRPr="00AB37F1">
        <w:rPr>
          <w:sz w:val="28"/>
          <w:szCs w:val="28"/>
        </w:rPr>
        <w:t xml:space="preserve">If YES, no </w:t>
      </w:r>
      <w:r w:rsidR="00AB37F1" w:rsidRPr="00AB37F1">
        <w:rPr>
          <w:sz w:val="28"/>
          <w:szCs w:val="28"/>
        </w:rPr>
        <w:t>immediate</w:t>
      </w:r>
      <w:r w:rsidRPr="00AB37F1">
        <w:rPr>
          <w:sz w:val="28"/>
          <w:szCs w:val="28"/>
        </w:rPr>
        <w:t xml:space="preserve"> action is required</w:t>
      </w:r>
    </w:p>
    <w:p w14:paraId="68381997" w14:textId="77777777" w:rsidR="00672EED" w:rsidRPr="00AB37F1" w:rsidRDefault="00AC4EE1" w:rsidP="009532C7">
      <w:pPr>
        <w:pStyle w:val="ListParagraph"/>
        <w:numPr>
          <w:ilvl w:val="4"/>
          <w:numId w:val="9"/>
        </w:numPr>
        <w:rPr>
          <w:sz w:val="28"/>
          <w:szCs w:val="28"/>
        </w:rPr>
      </w:pPr>
      <w:r w:rsidRPr="00AB37F1">
        <w:rPr>
          <w:sz w:val="28"/>
          <w:szCs w:val="28"/>
        </w:rPr>
        <w:t>If NO, the doorsets should be replaced</w:t>
      </w:r>
    </w:p>
    <w:p w14:paraId="4B3AB1F0" w14:textId="77777777" w:rsidR="00672EED" w:rsidRPr="00AB37F1" w:rsidRDefault="00672EED" w:rsidP="009532C7">
      <w:pPr>
        <w:pStyle w:val="ListParagraph"/>
        <w:numPr>
          <w:ilvl w:val="0"/>
          <w:numId w:val="9"/>
        </w:numPr>
        <w:rPr>
          <w:sz w:val="28"/>
          <w:szCs w:val="28"/>
        </w:rPr>
      </w:pPr>
      <w:r w:rsidRPr="00AB37F1">
        <w:rPr>
          <w:sz w:val="28"/>
          <w:szCs w:val="28"/>
        </w:rPr>
        <w:t>If the doorset manufacturer can be identified and was part of the MHCLG composite fire door investigation in 2018</w:t>
      </w:r>
    </w:p>
    <w:p w14:paraId="25C9163C" w14:textId="69DF4198" w:rsidR="00672EED" w:rsidRPr="00AB37F1" w:rsidRDefault="00672EED" w:rsidP="009532C7">
      <w:pPr>
        <w:pStyle w:val="ListParagraph"/>
        <w:numPr>
          <w:ilvl w:val="1"/>
          <w:numId w:val="9"/>
        </w:numPr>
        <w:rPr>
          <w:sz w:val="28"/>
          <w:szCs w:val="28"/>
        </w:rPr>
      </w:pPr>
      <w:r w:rsidRPr="00AB37F1">
        <w:rPr>
          <w:sz w:val="28"/>
          <w:szCs w:val="28"/>
        </w:rPr>
        <w:t xml:space="preserve">Review the </w:t>
      </w:r>
      <w:r w:rsidR="009532C7" w:rsidRPr="00AB37F1">
        <w:rPr>
          <w:sz w:val="28"/>
          <w:szCs w:val="28"/>
        </w:rPr>
        <w:t xml:space="preserve">MHCLG test </w:t>
      </w:r>
      <w:r w:rsidRPr="00AB37F1">
        <w:rPr>
          <w:sz w:val="28"/>
          <w:szCs w:val="28"/>
        </w:rPr>
        <w:t>results</w:t>
      </w:r>
      <w:r w:rsidR="00AB37F1" w:rsidRPr="00AB37F1">
        <w:rPr>
          <w:sz w:val="28"/>
          <w:szCs w:val="28"/>
        </w:rPr>
        <w:t>,</w:t>
      </w:r>
      <w:r w:rsidRPr="00AB37F1">
        <w:rPr>
          <w:sz w:val="28"/>
          <w:szCs w:val="28"/>
        </w:rPr>
        <w:t xml:space="preserve"> </w:t>
      </w:r>
      <w:r w:rsidR="009532C7" w:rsidRPr="00AB37F1">
        <w:rPr>
          <w:sz w:val="28"/>
          <w:szCs w:val="28"/>
        </w:rPr>
        <w:t xml:space="preserve">the doorset manufacturers test evidence and assessments to </w:t>
      </w:r>
      <w:r w:rsidRPr="00AB37F1">
        <w:rPr>
          <w:sz w:val="28"/>
          <w:szCs w:val="28"/>
        </w:rPr>
        <w:t xml:space="preserve">determine whether the test reports demonstrate </w:t>
      </w:r>
      <w:r w:rsidR="00AB37F1" w:rsidRPr="00AB37F1">
        <w:rPr>
          <w:sz w:val="28"/>
          <w:szCs w:val="28"/>
        </w:rPr>
        <w:t>the</w:t>
      </w:r>
      <w:r w:rsidRPr="00AB37F1">
        <w:rPr>
          <w:sz w:val="28"/>
          <w:szCs w:val="28"/>
        </w:rPr>
        <w:t xml:space="preserve"> level of fire resistance required</w:t>
      </w:r>
    </w:p>
    <w:p w14:paraId="2E66D1AB" w14:textId="45B84B28" w:rsidR="00672EED" w:rsidRPr="00AB37F1" w:rsidRDefault="00672EED" w:rsidP="009532C7">
      <w:pPr>
        <w:pStyle w:val="ListParagraph"/>
        <w:numPr>
          <w:ilvl w:val="2"/>
          <w:numId w:val="9"/>
        </w:numPr>
        <w:rPr>
          <w:sz w:val="28"/>
          <w:szCs w:val="28"/>
        </w:rPr>
      </w:pPr>
      <w:r w:rsidRPr="00AB37F1">
        <w:rPr>
          <w:sz w:val="28"/>
          <w:szCs w:val="28"/>
        </w:rPr>
        <w:t>If the level</w:t>
      </w:r>
      <w:r w:rsidR="00EF3522" w:rsidRPr="00AB37F1">
        <w:rPr>
          <w:sz w:val="28"/>
          <w:szCs w:val="28"/>
        </w:rPr>
        <w:t xml:space="preserve"> of fire-resistance (minutes) determined in 4</w:t>
      </w:r>
      <w:r w:rsidR="00332118">
        <w:rPr>
          <w:sz w:val="28"/>
          <w:szCs w:val="28"/>
        </w:rPr>
        <w:t>.2</w:t>
      </w:r>
      <w:r w:rsidR="00EF3522" w:rsidRPr="00AB37F1">
        <w:rPr>
          <w:sz w:val="28"/>
          <w:szCs w:val="28"/>
        </w:rPr>
        <w:t xml:space="preserve"> above</w:t>
      </w:r>
      <w:r w:rsidRPr="00AB37F1">
        <w:rPr>
          <w:sz w:val="28"/>
          <w:szCs w:val="28"/>
        </w:rPr>
        <w:t xml:space="preserve"> has been shown to have been achieved, no immediate action is required and the doorsets </w:t>
      </w:r>
      <w:bookmarkStart w:id="1" w:name="_Hlk45112399"/>
      <w:r w:rsidRPr="00AB37F1">
        <w:rPr>
          <w:sz w:val="28"/>
          <w:szCs w:val="28"/>
        </w:rPr>
        <w:t xml:space="preserve">should be assessed during future fire risk and condition assessments </w:t>
      </w:r>
      <w:bookmarkEnd w:id="1"/>
    </w:p>
    <w:p w14:paraId="398646BE" w14:textId="67D874EE" w:rsidR="00D62F5B" w:rsidRPr="00AB37F1" w:rsidRDefault="00D62F5B" w:rsidP="009532C7">
      <w:pPr>
        <w:pStyle w:val="ListParagraph"/>
        <w:numPr>
          <w:ilvl w:val="3"/>
          <w:numId w:val="9"/>
        </w:numPr>
        <w:rPr>
          <w:sz w:val="28"/>
          <w:szCs w:val="28"/>
        </w:rPr>
      </w:pPr>
      <w:bookmarkStart w:id="2" w:name="_Hlk34664170"/>
      <w:r w:rsidRPr="00AB37F1">
        <w:rPr>
          <w:sz w:val="28"/>
          <w:szCs w:val="28"/>
        </w:rPr>
        <w:t>Any maintenance issues such as missing or non-working door closers should be addressed by the Building Owner</w:t>
      </w:r>
      <w:r w:rsidR="00593AA5" w:rsidRPr="00AB37F1">
        <w:rPr>
          <w:sz w:val="28"/>
          <w:szCs w:val="28"/>
        </w:rPr>
        <w:t xml:space="preserve"> as soon as possible</w:t>
      </w:r>
    </w:p>
    <w:bookmarkEnd w:id="2"/>
    <w:p w14:paraId="6F54B4A6" w14:textId="2F5862F5" w:rsidR="00D62F5B" w:rsidRPr="00AB37F1" w:rsidRDefault="00D62F5B" w:rsidP="009532C7">
      <w:pPr>
        <w:pStyle w:val="ListParagraph"/>
        <w:numPr>
          <w:ilvl w:val="2"/>
          <w:numId w:val="9"/>
        </w:numPr>
        <w:rPr>
          <w:sz w:val="28"/>
          <w:szCs w:val="28"/>
        </w:rPr>
      </w:pPr>
      <w:r w:rsidRPr="00AB37F1">
        <w:rPr>
          <w:sz w:val="28"/>
          <w:szCs w:val="28"/>
        </w:rPr>
        <w:t xml:space="preserve">If the </w:t>
      </w:r>
      <w:r w:rsidR="00AB37F1" w:rsidRPr="00AB37F1">
        <w:rPr>
          <w:sz w:val="28"/>
          <w:szCs w:val="28"/>
        </w:rPr>
        <w:t xml:space="preserve">required </w:t>
      </w:r>
      <w:r w:rsidRPr="00AB37F1">
        <w:rPr>
          <w:sz w:val="28"/>
          <w:szCs w:val="28"/>
        </w:rPr>
        <w:t xml:space="preserve">level has not been achieved during testing, contact the doorset manufacturer and </w:t>
      </w:r>
      <w:r w:rsidR="00593AA5" w:rsidRPr="00AB37F1">
        <w:rPr>
          <w:sz w:val="28"/>
          <w:szCs w:val="28"/>
        </w:rPr>
        <w:t>determine</w:t>
      </w:r>
      <w:r w:rsidRPr="00AB37F1">
        <w:rPr>
          <w:sz w:val="28"/>
          <w:szCs w:val="28"/>
        </w:rPr>
        <w:t xml:space="preserve"> </w:t>
      </w:r>
      <w:r w:rsidR="00593AA5" w:rsidRPr="00AB37F1">
        <w:rPr>
          <w:sz w:val="28"/>
          <w:szCs w:val="28"/>
        </w:rPr>
        <w:t>whether</w:t>
      </w:r>
      <w:r w:rsidR="006112EC" w:rsidRPr="00AB37F1">
        <w:rPr>
          <w:sz w:val="28"/>
          <w:szCs w:val="28"/>
        </w:rPr>
        <w:t xml:space="preserve"> </w:t>
      </w:r>
      <w:r w:rsidRPr="00AB37F1">
        <w:rPr>
          <w:sz w:val="28"/>
          <w:szCs w:val="28"/>
        </w:rPr>
        <w:t xml:space="preserve">remediation </w:t>
      </w:r>
      <w:r w:rsidR="006112EC" w:rsidRPr="00AB37F1">
        <w:rPr>
          <w:sz w:val="28"/>
          <w:szCs w:val="28"/>
        </w:rPr>
        <w:t>can be carried out to provide the level of fire-resistance required</w:t>
      </w:r>
    </w:p>
    <w:p w14:paraId="69B5FDF4" w14:textId="18EBE9AC" w:rsidR="00593AA5" w:rsidRPr="00AB37F1" w:rsidRDefault="00593AA5" w:rsidP="00593AA5">
      <w:pPr>
        <w:pStyle w:val="ListParagraph"/>
        <w:numPr>
          <w:ilvl w:val="3"/>
          <w:numId w:val="9"/>
        </w:numPr>
        <w:rPr>
          <w:sz w:val="28"/>
          <w:szCs w:val="28"/>
        </w:rPr>
      </w:pPr>
      <w:r w:rsidRPr="00AB37F1">
        <w:rPr>
          <w:sz w:val="28"/>
          <w:szCs w:val="28"/>
        </w:rPr>
        <w:t>If remediation is acceptable, agree action required</w:t>
      </w:r>
    </w:p>
    <w:p w14:paraId="2D701C30" w14:textId="10D7312E" w:rsidR="00593AA5" w:rsidRPr="00AB37F1" w:rsidRDefault="00593AA5" w:rsidP="00593AA5">
      <w:pPr>
        <w:pStyle w:val="ListParagraph"/>
        <w:numPr>
          <w:ilvl w:val="3"/>
          <w:numId w:val="9"/>
        </w:numPr>
        <w:rPr>
          <w:sz w:val="28"/>
          <w:szCs w:val="28"/>
        </w:rPr>
      </w:pPr>
      <w:r w:rsidRPr="00AB37F1">
        <w:rPr>
          <w:sz w:val="28"/>
          <w:szCs w:val="28"/>
        </w:rPr>
        <w:t>If remediation is not possible, Building Owner to arrange replacement as soon as possible</w:t>
      </w:r>
    </w:p>
    <w:p w14:paraId="1FA3250A" w14:textId="52D4CA33" w:rsidR="00D62F5B" w:rsidRDefault="00D62F5B" w:rsidP="009532C7">
      <w:pPr>
        <w:pStyle w:val="ListParagraph"/>
        <w:numPr>
          <w:ilvl w:val="3"/>
          <w:numId w:val="9"/>
        </w:numPr>
        <w:rPr>
          <w:sz w:val="28"/>
          <w:szCs w:val="28"/>
        </w:rPr>
      </w:pPr>
      <w:r w:rsidRPr="00AB37F1">
        <w:rPr>
          <w:sz w:val="28"/>
          <w:szCs w:val="28"/>
        </w:rPr>
        <w:lastRenderedPageBreak/>
        <w:t>Any maintenance issues such as missing or non-working door closers should be addressed by the Building Owner</w:t>
      </w:r>
      <w:r w:rsidR="00332118">
        <w:rPr>
          <w:sz w:val="28"/>
          <w:szCs w:val="28"/>
        </w:rPr>
        <w:t xml:space="preserve"> as a matter of urgency as this issue was found to be significant during the Grenfell Inquiry, Phase 1 report.</w:t>
      </w:r>
    </w:p>
    <w:p w14:paraId="50D0B74A" w14:textId="63365A17" w:rsidR="00D62F5B" w:rsidRPr="00AB37F1" w:rsidRDefault="00D62F5B" w:rsidP="009532C7">
      <w:pPr>
        <w:pStyle w:val="ListParagraph"/>
        <w:numPr>
          <w:ilvl w:val="0"/>
          <w:numId w:val="9"/>
        </w:numPr>
        <w:rPr>
          <w:sz w:val="28"/>
          <w:szCs w:val="28"/>
        </w:rPr>
      </w:pPr>
      <w:r w:rsidRPr="00AB37F1">
        <w:rPr>
          <w:sz w:val="28"/>
          <w:szCs w:val="28"/>
        </w:rPr>
        <w:t>If the doorset manufacturer was not included in the MHCLG Composite Fire Door investigation:</w:t>
      </w:r>
    </w:p>
    <w:p w14:paraId="721476BC" w14:textId="77777777" w:rsidR="00D62F5B" w:rsidRPr="00AB37F1" w:rsidRDefault="00D62F5B" w:rsidP="009532C7">
      <w:pPr>
        <w:pStyle w:val="ListParagraph"/>
        <w:numPr>
          <w:ilvl w:val="1"/>
          <w:numId w:val="9"/>
        </w:numPr>
        <w:rPr>
          <w:sz w:val="28"/>
          <w:szCs w:val="28"/>
        </w:rPr>
      </w:pPr>
      <w:r w:rsidRPr="00AB37F1">
        <w:rPr>
          <w:sz w:val="28"/>
          <w:szCs w:val="28"/>
        </w:rPr>
        <w:t>Contact the doorset manufacturer and request the evidence (test evidence and assessments carried out by a UKAS accredited body) on which they based their claims for fire resistance</w:t>
      </w:r>
    </w:p>
    <w:p w14:paraId="161BF6DF" w14:textId="16530808" w:rsidR="00D62F5B" w:rsidRPr="00AB37F1" w:rsidRDefault="00D62F5B" w:rsidP="009532C7">
      <w:pPr>
        <w:pStyle w:val="ListParagraph"/>
        <w:numPr>
          <w:ilvl w:val="1"/>
          <w:numId w:val="9"/>
        </w:numPr>
        <w:rPr>
          <w:sz w:val="28"/>
          <w:szCs w:val="28"/>
        </w:rPr>
      </w:pPr>
      <w:r w:rsidRPr="00AB37F1">
        <w:rPr>
          <w:sz w:val="28"/>
          <w:szCs w:val="28"/>
        </w:rPr>
        <w:t>Review the evidence provided and determine whether it support</w:t>
      </w:r>
      <w:r w:rsidR="00EF3522" w:rsidRPr="00AB37F1">
        <w:rPr>
          <w:sz w:val="28"/>
          <w:szCs w:val="28"/>
        </w:rPr>
        <w:t>s</w:t>
      </w:r>
      <w:r w:rsidRPr="00AB37F1">
        <w:rPr>
          <w:sz w:val="28"/>
          <w:szCs w:val="28"/>
        </w:rPr>
        <w:t xml:space="preserve"> their claims and whether it meets the requirement determined in </w:t>
      </w:r>
      <w:r w:rsidR="00EF3522" w:rsidRPr="00AB37F1">
        <w:rPr>
          <w:sz w:val="28"/>
          <w:szCs w:val="28"/>
        </w:rPr>
        <w:t>4</w:t>
      </w:r>
      <w:r w:rsidRPr="00AB37F1">
        <w:rPr>
          <w:sz w:val="28"/>
          <w:szCs w:val="28"/>
        </w:rPr>
        <w:t xml:space="preserve"> above.</w:t>
      </w:r>
    </w:p>
    <w:p w14:paraId="49DA8421" w14:textId="623C407F" w:rsidR="001C105D" w:rsidRPr="00AB37F1" w:rsidRDefault="001C105D" w:rsidP="009532C7">
      <w:pPr>
        <w:pStyle w:val="ListParagraph"/>
        <w:numPr>
          <w:ilvl w:val="2"/>
          <w:numId w:val="9"/>
        </w:numPr>
        <w:rPr>
          <w:sz w:val="28"/>
          <w:szCs w:val="28"/>
        </w:rPr>
      </w:pPr>
      <w:r w:rsidRPr="00AB37F1">
        <w:rPr>
          <w:sz w:val="28"/>
          <w:szCs w:val="28"/>
        </w:rPr>
        <w:t xml:space="preserve">If the evidence is determined to support the above, no </w:t>
      </w:r>
      <w:r w:rsidR="00AB37F1" w:rsidRPr="00AB37F1">
        <w:rPr>
          <w:sz w:val="28"/>
          <w:szCs w:val="28"/>
        </w:rPr>
        <w:t>immediate</w:t>
      </w:r>
      <w:r w:rsidRPr="00AB37F1">
        <w:rPr>
          <w:sz w:val="28"/>
          <w:szCs w:val="28"/>
        </w:rPr>
        <w:t xml:space="preserve"> action is required</w:t>
      </w:r>
      <w:r w:rsidR="00EF3522" w:rsidRPr="00AB37F1">
        <w:rPr>
          <w:sz w:val="28"/>
          <w:szCs w:val="28"/>
        </w:rPr>
        <w:t xml:space="preserve"> and the doorsets should be assessed during future fire risk and condition assessments</w:t>
      </w:r>
    </w:p>
    <w:p w14:paraId="6299C4DD" w14:textId="5F4E8F72" w:rsidR="001C105D" w:rsidRPr="00AB37F1" w:rsidRDefault="001C105D" w:rsidP="00EF3522">
      <w:pPr>
        <w:pStyle w:val="ListParagraph"/>
        <w:numPr>
          <w:ilvl w:val="2"/>
          <w:numId w:val="9"/>
        </w:numPr>
        <w:rPr>
          <w:sz w:val="28"/>
          <w:szCs w:val="28"/>
        </w:rPr>
      </w:pPr>
      <w:r w:rsidRPr="00AB37F1">
        <w:rPr>
          <w:sz w:val="28"/>
          <w:szCs w:val="28"/>
        </w:rPr>
        <w:t xml:space="preserve">If the evidence is determined not to support the above, agree with the doorset manufacturer </w:t>
      </w:r>
      <w:r w:rsidR="00AB37F1" w:rsidRPr="00AB37F1">
        <w:rPr>
          <w:sz w:val="28"/>
          <w:szCs w:val="28"/>
        </w:rPr>
        <w:t>whether</w:t>
      </w:r>
      <w:r w:rsidRPr="00AB37F1">
        <w:rPr>
          <w:sz w:val="28"/>
          <w:szCs w:val="28"/>
        </w:rPr>
        <w:t xml:space="preserve"> remediation </w:t>
      </w:r>
      <w:r w:rsidR="00AB37F1" w:rsidRPr="00AB37F1">
        <w:rPr>
          <w:sz w:val="28"/>
          <w:szCs w:val="28"/>
        </w:rPr>
        <w:t>is possible</w:t>
      </w:r>
    </w:p>
    <w:p w14:paraId="1C3B0F9D" w14:textId="5BED1D0C" w:rsidR="00EF3522" w:rsidRPr="00AB37F1" w:rsidRDefault="00EF3522" w:rsidP="00D0216C">
      <w:pPr>
        <w:pStyle w:val="ListParagraph"/>
        <w:numPr>
          <w:ilvl w:val="2"/>
          <w:numId w:val="9"/>
        </w:numPr>
        <w:rPr>
          <w:sz w:val="28"/>
          <w:szCs w:val="28"/>
        </w:rPr>
      </w:pPr>
      <w:r w:rsidRPr="00AB37F1">
        <w:rPr>
          <w:sz w:val="28"/>
          <w:szCs w:val="28"/>
        </w:rPr>
        <w:t>If remediation cannot provide the required level of fire-resistance, the doorsets should be replaced as soon as possibl</w:t>
      </w:r>
      <w:r w:rsidR="00D0216C" w:rsidRPr="00AB37F1">
        <w:rPr>
          <w:sz w:val="28"/>
          <w:szCs w:val="28"/>
        </w:rPr>
        <w:t>e</w:t>
      </w:r>
    </w:p>
    <w:p w14:paraId="3280393D" w14:textId="140583ED" w:rsidR="00D0216C" w:rsidRDefault="00D0216C">
      <w:pPr>
        <w:rPr>
          <w:sz w:val="24"/>
          <w:szCs w:val="24"/>
        </w:rPr>
      </w:pPr>
      <w:r>
        <w:rPr>
          <w:sz w:val="24"/>
          <w:szCs w:val="24"/>
        </w:rPr>
        <w:br w:type="page"/>
      </w:r>
    </w:p>
    <w:p w14:paraId="7E000B62" w14:textId="2C75C743" w:rsidR="00E1708F" w:rsidRDefault="007A073A" w:rsidP="00911497">
      <w:pPr>
        <w:ind w:left="60"/>
        <w:rPr>
          <w:rFonts w:cstheme="minorHAnsi"/>
          <w:sz w:val="24"/>
          <w:szCs w:val="24"/>
          <w:u w:val="single"/>
        </w:rPr>
      </w:pPr>
      <w:r>
        <w:rPr>
          <w:noProof/>
          <w:sz w:val="24"/>
          <w:szCs w:val="24"/>
        </w:rPr>
        <w:lastRenderedPageBreak/>
        <w:object w:dxaOrig="1440" w:dyaOrig="1440" w14:anchorId="71915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3pt;width:441.5pt;height:598.5pt;z-index:251659264;mso-position-horizontal:left;mso-position-horizontal-relative:text;mso-position-vertical-relative:text">
            <v:imagedata r:id="rId8" o:title=""/>
            <w10:wrap type="square" side="right"/>
          </v:shape>
          <o:OLEObject Type="Embed" ProgID="Visio.Drawing.15" ShapeID="_x0000_s2051" DrawAspect="Content" ObjectID="_1716275029" r:id="rId9"/>
        </w:object>
      </w:r>
      <w:r w:rsidR="00895BDA">
        <w:rPr>
          <w:sz w:val="24"/>
          <w:szCs w:val="24"/>
        </w:rPr>
        <w:br w:type="textWrapping" w:clear="all"/>
      </w:r>
      <w:r w:rsidR="00E1708F">
        <w:rPr>
          <w:rFonts w:cstheme="minorHAnsi"/>
          <w:sz w:val="24"/>
          <w:szCs w:val="24"/>
          <w:u w:val="single"/>
        </w:rPr>
        <w:br w:type="page"/>
      </w:r>
    </w:p>
    <w:p w14:paraId="62C1A92F" w14:textId="77777777" w:rsidR="002F3767" w:rsidRPr="0014299E" w:rsidRDefault="0014299E" w:rsidP="0014299E">
      <w:pPr>
        <w:ind w:left="60"/>
        <w:jc w:val="center"/>
        <w:rPr>
          <w:rFonts w:cstheme="minorHAnsi"/>
          <w:sz w:val="24"/>
          <w:szCs w:val="24"/>
          <w:u w:val="single"/>
        </w:rPr>
      </w:pPr>
      <w:r w:rsidRPr="0014299E">
        <w:rPr>
          <w:rFonts w:cstheme="minorHAnsi"/>
          <w:sz w:val="24"/>
          <w:szCs w:val="24"/>
          <w:u w:val="single"/>
        </w:rPr>
        <w:lastRenderedPageBreak/>
        <w:t xml:space="preserve">Appendix A </w:t>
      </w:r>
    </w:p>
    <w:p w14:paraId="3A845035" w14:textId="77777777" w:rsidR="0097028F" w:rsidRPr="0097028F" w:rsidRDefault="0097028F" w:rsidP="0097028F">
      <w:pPr>
        <w:tabs>
          <w:tab w:val="center" w:pos="2160"/>
          <w:tab w:val="center" w:pos="6660"/>
          <w:tab w:val="right" w:pos="8100"/>
        </w:tabs>
        <w:spacing w:after="0" w:line="240" w:lineRule="auto"/>
        <w:jc w:val="both"/>
        <w:rPr>
          <w:rFonts w:ascii="Times New Roman" w:eastAsia="Times New Roman" w:hAnsi="Times New Roman" w:cs="Times New Roman"/>
          <w:sz w:val="24"/>
          <w:szCs w:val="20"/>
          <w:lang w:eastAsia="en-GB"/>
        </w:rPr>
      </w:pPr>
      <w:bookmarkStart w:id="3" w:name="_Hlk530036865"/>
      <w:bookmarkEnd w:id="3"/>
    </w:p>
    <w:p w14:paraId="025D000A" w14:textId="77777777" w:rsidR="0097028F" w:rsidRPr="0097028F" w:rsidRDefault="0097028F" w:rsidP="0097028F">
      <w:pPr>
        <w:spacing w:after="0" w:line="240" w:lineRule="auto"/>
        <w:jc w:val="center"/>
        <w:rPr>
          <w:rFonts w:ascii="Arial" w:eastAsia="Times New Roman" w:hAnsi="Arial" w:cs="Arial"/>
          <w:sz w:val="24"/>
          <w:szCs w:val="20"/>
          <w:lang w:eastAsia="en-GB"/>
        </w:rPr>
      </w:pPr>
    </w:p>
    <w:p w14:paraId="44D738F4" w14:textId="77777777" w:rsidR="0097028F" w:rsidRPr="0097028F" w:rsidRDefault="0097028F" w:rsidP="0097028F">
      <w:pPr>
        <w:spacing w:after="0" w:line="240" w:lineRule="auto"/>
        <w:jc w:val="center"/>
        <w:rPr>
          <w:rFonts w:ascii="Arial" w:eastAsia="Times New Roman" w:hAnsi="Arial" w:cs="Arial"/>
          <w:sz w:val="24"/>
          <w:szCs w:val="20"/>
          <w:lang w:eastAsia="en-GB"/>
        </w:rPr>
      </w:pPr>
    </w:p>
    <w:p w14:paraId="0FB0C0C3" w14:textId="77777777" w:rsidR="0097028F" w:rsidRPr="0097028F" w:rsidRDefault="0097028F" w:rsidP="0097028F">
      <w:pPr>
        <w:tabs>
          <w:tab w:val="center" w:pos="2160"/>
          <w:tab w:val="center" w:pos="6660"/>
          <w:tab w:val="right" w:leader="dot" w:pos="8100"/>
        </w:tabs>
        <w:spacing w:before="120" w:after="120" w:line="240" w:lineRule="auto"/>
        <w:jc w:val="center"/>
        <w:rPr>
          <w:rFonts w:ascii="Arial" w:eastAsia="Times New Roman" w:hAnsi="Arial" w:cs="Arial"/>
          <w:b/>
          <w:sz w:val="28"/>
          <w:szCs w:val="20"/>
          <w:lang w:eastAsia="en-GB"/>
        </w:rPr>
      </w:pPr>
      <w:bookmarkStart w:id="4" w:name="_Hlk7683435"/>
      <w:r w:rsidRPr="0097028F">
        <w:rPr>
          <w:rFonts w:ascii="Arial" w:eastAsia="Times New Roman" w:hAnsi="Arial" w:cs="Arial"/>
          <w:b/>
          <w:sz w:val="28"/>
          <w:szCs w:val="20"/>
          <w:lang w:eastAsia="en-GB"/>
        </w:rPr>
        <w:t>GUIDANCE ON NEED FOR THE UPGRADING OR REPLACEMENT OF FLAT ENTRANCE DOORS</w:t>
      </w:r>
    </w:p>
    <w:bookmarkEnd w:id="4"/>
    <w:p w14:paraId="0ADFB456" w14:textId="77777777" w:rsidR="0097028F" w:rsidRPr="0097028F" w:rsidRDefault="0097028F" w:rsidP="0097028F">
      <w:pPr>
        <w:tabs>
          <w:tab w:val="left" w:pos="5670"/>
        </w:tabs>
        <w:spacing w:after="0" w:line="240" w:lineRule="auto"/>
        <w:rPr>
          <w:rFonts w:ascii="Arial" w:eastAsia="Times New Roman" w:hAnsi="Arial" w:cs="Arial"/>
          <w:sz w:val="24"/>
          <w:szCs w:val="20"/>
          <w:lang w:eastAsia="en-GB"/>
        </w:rPr>
      </w:pPr>
    </w:p>
    <w:p w14:paraId="43160343" w14:textId="77777777" w:rsidR="0097028F" w:rsidRPr="0097028F" w:rsidRDefault="0097028F" w:rsidP="0097028F">
      <w:pPr>
        <w:tabs>
          <w:tab w:val="left" w:pos="5670"/>
        </w:tabs>
        <w:spacing w:after="0" w:line="240" w:lineRule="auto"/>
        <w:rPr>
          <w:rFonts w:ascii="Arial" w:eastAsia="Times New Roman" w:hAnsi="Arial" w:cs="Arial"/>
          <w:sz w:val="24"/>
          <w:szCs w:val="20"/>
          <w:lang w:eastAsia="en-GB"/>
        </w:rPr>
      </w:pPr>
    </w:p>
    <w:p w14:paraId="3E87E7C6" w14:textId="77777777" w:rsidR="0097028F" w:rsidRPr="0097028F" w:rsidRDefault="0097028F" w:rsidP="0097028F">
      <w:pPr>
        <w:tabs>
          <w:tab w:val="left" w:pos="5387"/>
        </w:tabs>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Report by:</w:t>
      </w:r>
      <w:r w:rsidRPr="0097028F">
        <w:rPr>
          <w:rFonts w:ascii="Arial" w:eastAsia="Times New Roman" w:hAnsi="Arial" w:cs="Arial"/>
          <w:sz w:val="24"/>
          <w:szCs w:val="20"/>
          <w:lang w:eastAsia="en-GB"/>
        </w:rPr>
        <w:tab/>
        <w:t>Reviewed by:</w:t>
      </w:r>
    </w:p>
    <w:p w14:paraId="7ED366E0" w14:textId="77777777" w:rsidR="0097028F" w:rsidRPr="0097028F" w:rsidRDefault="0097028F" w:rsidP="0097028F">
      <w:pPr>
        <w:tabs>
          <w:tab w:val="left" w:pos="5387"/>
        </w:tabs>
        <w:spacing w:after="0" w:line="240" w:lineRule="auto"/>
        <w:rPr>
          <w:rFonts w:ascii="Arial" w:eastAsia="Times New Roman" w:hAnsi="Arial" w:cs="Times New Roman"/>
          <w:sz w:val="24"/>
          <w:szCs w:val="20"/>
          <w:lang w:eastAsia="en-GB"/>
        </w:rPr>
      </w:pPr>
    </w:p>
    <w:p w14:paraId="0F1E9850" w14:textId="77777777" w:rsidR="0097028F" w:rsidRPr="0097028F" w:rsidRDefault="0097028F" w:rsidP="0097028F">
      <w:pPr>
        <w:tabs>
          <w:tab w:val="left" w:pos="5387"/>
        </w:tabs>
        <w:spacing w:after="0" w:line="240" w:lineRule="auto"/>
        <w:rPr>
          <w:rFonts w:ascii="Arial" w:eastAsia="Times New Roman" w:hAnsi="Arial" w:cs="Times New Roman"/>
          <w:noProof/>
          <w:sz w:val="24"/>
          <w:szCs w:val="20"/>
          <w:lang w:eastAsia="en-GB"/>
        </w:rPr>
      </w:pPr>
      <w:r w:rsidRPr="0097028F">
        <w:rPr>
          <w:rFonts w:ascii="Arial" w:eastAsia="Times New Roman" w:hAnsi="Arial" w:cs="Arial"/>
          <w:noProof/>
          <w:sz w:val="24"/>
          <w:szCs w:val="20"/>
          <w:lang w:eastAsia="en-GB"/>
        </w:rPr>
        <w:drawing>
          <wp:inline distT="0" distB="0" distL="0" distR="0" wp14:anchorId="5DA4096E" wp14:editId="790ABBB1">
            <wp:extent cx="1479550" cy="450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550" cy="450850"/>
                    </a:xfrm>
                    <a:prstGeom prst="rect">
                      <a:avLst/>
                    </a:prstGeom>
                    <a:noFill/>
                    <a:ln>
                      <a:noFill/>
                    </a:ln>
                  </pic:spPr>
                </pic:pic>
              </a:graphicData>
            </a:graphic>
          </wp:inline>
        </w:drawing>
      </w:r>
      <w:r w:rsidRPr="0097028F">
        <w:rPr>
          <w:rFonts w:ascii="Arial" w:eastAsia="Times New Roman" w:hAnsi="Arial" w:cs="Times New Roman"/>
          <w:noProof/>
          <w:sz w:val="24"/>
          <w:szCs w:val="20"/>
          <w:lang w:eastAsia="en-GB"/>
        </w:rPr>
        <w:tab/>
      </w:r>
      <w:r w:rsidRPr="0097028F">
        <w:rPr>
          <w:rFonts w:ascii="Arial" w:eastAsia="Times New Roman" w:hAnsi="Arial" w:cs="Times New Roman"/>
          <w:noProof/>
          <w:sz w:val="24"/>
          <w:szCs w:val="20"/>
          <w:lang w:eastAsia="en-GB"/>
        </w:rPr>
        <w:drawing>
          <wp:inline distT="0" distB="0" distL="0" distR="0" wp14:anchorId="2BCF635F" wp14:editId="4E2406E8">
            <wp:extent cx="1276350" cy="904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904875"/>
                    </a:xfrm>
                    <a:prstGeom prst="rect">
                      <a:avLst/>
                    </a:prstGeom>
                    <a:noFill/>
                    <a:ln>
                      <a:noFill/>
                    </a:ln>
                  </pic:spPr>
                </pic:pic>
              </a:graphicData>
            </a:graphic>
          </wp:inline>
        </w:drawing>
      </w:r>
      <w:r w:rsidRPr="0097028F">
        <w:rPr>
          <w:rFonts w:ascii="Arial" w:eastAsia="Times New Roman" w:hAnsi="Arial" w:cs="Times New Roman"/>
          <w:noProof/>
          <w:sz w:val="24"/>
          <w:szCs w:val="20"/>
          <w:lang w:eastAsia="en-GB"/>
        </w:rPr>
        <w:tab/>
      </w:r>
    </w:p>
    <w:p w14:paraId="23C5EF22" w14:textId="77777777" w:rsidR="0097028F" w:rsidRPr="0097028F" w:rsidRDefault="0097028F" w:rsidP="0097028F">
      <w:pPr>
        <w:tabs>
          <w:tab w:val="left" w:pos="5387"/>
        </w:tabs>
        <w:spacing w:after="0" w:line="240" w:lineRule="auto"/>
        <w:rPr>
          <w:rFonts w:ascii="Arial" w:eastAsia="Times New Roman" w:hAnsi="Arial" w:cs="Times New Roman"/>
          <w:b/>
          <w:sz w:val="24"/>
          <w:szCs w:val="20"/>
          <w:lang w:eastAsia="en-GB"/>
        </w:rPr>
      </w:pPr>
    </w:p>
    <w:p w14:paraId="7B73BC6C" w14:textId="77777777" w:rsidR="0097028F" w:rsidRPr="0097028F" w:rsidRDefault="0097028F" w:rsidP="0097028F">
      <w:pPr>
        <w:tabs>
          <w:tab w:val="left" w:pos="5387"/>
        </w:tabs>
        <w:spacing w:after="0" w:line="240" w:lineRule="auto"/>
        <w:rPr>
          <w:rFonts w:ascii="Arial" w:eastAsia="Times New Roman" w:hAnsi="Arial" w:cs="Arial"/>
          <w:sz w:val="20"/>
          <w:szCs w:val="20"/>
          <w:lang w:eastAsia="en-GB"/>
        </w:rPr>
      </w:pPr>
      <w:r w:rsidRPr="0097028F">
        <w:rPr>
          <w:rFonts w:ascii="Arial" w:eastAsia="Times New Roman" w:hAnsi="Arial" w:cs="Arial"/>
          <w:sz w:val="24"/>
          <w:szCs w:val="24"/>
          <w:lang w:eastAsia="en-GB"/>
        </w:rPr>
        <w:t xml:space="preserve">C.S. TODD </w:t>
      </w:r>
      <w:r w:rsidRPr="0097028F">
        <w:rPr>
          <w:rFonts w:ascii="Arial" w:eastAsia="Times New Roman" w:hAnsi="Arial" w:cs="Arial"/>
          <w:sz w:val="18"/>
          <w:szCs w:val="18"/>
          <w:lang w:eastAsia="en-GB"/>
        </w:rPr>
        <w:t xml:space="preserve">MSc, </w:t>
      </w:r>
      <w:proofErr w:type="spellStart"/>
      <w:r w:rsidRPr="0097028F">
        <w:rPr>
          <w:rFonts w:ascii="Arial" w:eastAsia="Times New Roman" w:hAnsi="Arial" w:cs="Arial"/>
          <w:sz w:val="18"/>
          <w:szCs w:val="18"/>
          <w:lang w:eastAsia="en-GB"/>
        </w:rPr>
        <w:t>FIFireE</w:t>
      </w:r>
      <w:proofErr w:type="spellEnd"/>
      <w:r w:rsidRPr="0097028F">
        <w:rPr>
          <w:rFonts w:ascii="Arial" w:eastAsia="Times New Roman" w:hAnsi="Arial" w:cs="Arial"/>
          <w:sz w:val="18"/>
          <w:szCs w:val="18"/>
          <w:lang w:eastAsia="en-GB"/>
        </w:rPr>
        <w:t>, MIRM, MSFPE</w:t>
      </w:r>
      <w:r w:rsidRPr="0097028F">
        <w:rPr>
          <w:rFonts w:ascii="Arial" w:eastAsia="Times New Roman" w:hAnsi="Arial" w:cs="Arial"/>
          <w:sz w:val="18"/>
          <w:szCs w:val="18"/>
          <w:lang w:eastAsia="en-GB"/>
        </w:rPr>
        <w:tab/>
      </w:r>
      <w:r w:rsidRPr="0097028F">
        <w:rPr>
          <w:rFonts w:ascii="Arial" w:eastAsia="Times New Roman" w:hAnsi="Arial" w:cs="Arial"/>
          <w:sz w:val="24"/>
          <w:lang w:eastAsia="en-GB"/>
        </w:rPr>
        <w:t>ANDREW FOX</w:t>
      </w:r>
      <w:r w:rsidRPr="0097028F">
        <w:rPr>
          <w:rFonts w:ascii="Arial" w:eastAsia="Times New Roman" w:hAnsi="Arial" w:cs="Arial"/>
          <w:sz w:val="24"/>
          <w:szCs w:val="20"/>
          <w:lang w:eastAsia="en-GB"/>
        </w:rPr>
        <w:t xml:space="preserve"> </w:t>
      </w:r>
      <w:proofErr w:type="spellStart"/>
      <w:r w:rsidRPr="0097028F">
        <w:rPr>
          <w:rFonts w:ascii="Arial" w:eastAsia="Times New Roman" w:hAnsi="Arial" w:cs="Arial"/>
          <w:sz w:val="18"/>
          <w:szCs w:val="18"/>
          <w:lang w:eastAsia="en-GB"/>
        </w:rPr>
        <w:t>FIFireE</w:t>
      </w:r>
      <w:proofErr w:type="spellEnd"/>
      <w:r w:rsidRPr="0097028F">
        <w:rPr>
          <w:rFonts w:ascii="Arial" w:eastAsia="Times New Roman" w:hAnsi="Arial" w:cs="Arial"/>
          <w:sz w:val="18"/>
          <w:szCs w:val="18"/>
          <w:lang w:eastAsia="en-GB"/>
        </w:rPr>
        <w:t xml:space="preserve">, QTLS, PgCert, </w:t>
      </w:r>
      <w:proofErr w:type="spellStart"/>
      <w:r w:rsidRPr="0097028F">
        <w:rPr>
          <w:rFonts w:ascii="Arial" w:eastAsia="Times New Roman" w:hAnsi="Arial" w:cs="Arial"/>
          <w:sz w:val="18"/>
          <w:szCs w:val="18"/>
          <w:lang w:eastAsia="en-GB"/>
        </w:rPr>
        <w:t>CPhys</w:t>
      </w:r>
      <w:proofErr w:type="spellEnd"/>
      <w:r w:rsidRPr="0097028F">
        <w:rPr>
          <w:rFonts w:ascii="Arial" w:eastAsia="Times New Roman" w:hAnsi="Arial" w:cs="Arial"/>
          <w:sz w:val="18"/>
          <w:szCs w:val="18"/>
          <w:lang w:eastAsia="en-GB"/>
        </w:rPr>
        <w:t xml:space="preserve">, </w:t>
      </w:r>
      <w:proofErr w:type="spellStart"/>
      <w:r w:rsidRPr="0097028F">
        <w:rPr>
          <w:rFonts w:ascii="Arial" w:eastAsia="Times New Roman" w:hAnsi="Arial" w:cs="Arial"/>
          <w:sz w:val="18"/>
          <w:szCs w:val="18"/>
          <w:lang w:eastAsia="en-GB"/>
        </w:rPr>
        <w:t>FInstP</w:t>
      </w:r>
      <w:proofErr w:type="spellEnd"/>
      <w:r w:rsidRPr="0097028F">
        <w:rPr>
          <w:rFonts w:ascii="Arial" w:eastAsia="Times New Roman" w:hAnsi="Arial" w:cs="Arial"/>
          <w:sz w:val="18"/>
          <w:szCs w:val="18"/>
          <w:lang w:eastAsia="en-GB"/>
        </w:rPr>
        <w:t xml:space="preserve">, </w:t>
      </w:r>
      <w:proofErr w:type="spellStart"/>
      <w:proofErr w:type="gramStart"/>
      <w:r w:rsidRPr="0097028F">
        <w:rPr>
          <w:rFonts w:ascii="Arial" w:eastAsia="Times New Roman" w:hAnsi="Arial" w:cs="Arial"/>
          <w:sz w:val="18"/>
          <w:szCs w:val="18"/>
          <w:lang w:eastAsia="en-GB"/>
        </w:rPr>
        <w:t>C.Build</w:t>
      </w:r>
      <w:proofErr w:type="spellEnd"/>
      <w:proofErr w:type="gramEnd"/>
      <w:r w:rsidRPr="0097028F">
        <w:rPr>
          <w:rFonts w:ascii="Arial" w:eastAsia="Times New Roman" w:hAnsi="Arial" w:cs="Arial"/>
          <w:sz w:val="18"/>
          <w:szCs w:val="18"/>
          <w:lang w:eastAsia="en-GB"/>
        </w:rPr>
        <w:t xml:space="preserve"> E, FCABE, CEng, FIET</w:t>
      </w:r>
      <w:r w:rsidRPr="0097028F">
        <w:rPr>
          <w:rFonts w:ascii="Arial" w:eastAsia="Times New Roman" w:hAnsi="Arial" w:cs="Arial"/>
          <w:sz w:val="18"/>
          <w:szCs w:val="18"/>
          <w:lang w:eastAsia="en-GB"/>
        </w:rPr>
        <w:tab/>
      </w:r>
      <w:proofErr w:type="spellStart"/>
      <w:r w:rsidRPr="0097028F">
        <w:rPr>
          <w:rFonts w:ascii="Arial" w:eastAsia="Times New Roman" w:hAnsi="Arial" w:cs="Arial"/>
          <w:sz w:val="18"/>
          <w:szCs w:val="18"/>
          <w:lang w:eastAsia="en-GB"/>
        </w:rPr>
        <w:t>FdSc</w:t>
      </w:r>
      <w:proofErr w:type="spellEnd"/>
      <w:r w:rsidRPr="0097028F">
        <w:rPr>
          <w:rFonts w:ascii="Arial" w:eastAsia="Times New Roman" w:hAnsi="Arial" w:cs="Arial"/>
          <w:sz w:val="18"/>
          <w:szCs w:val="18"/>
          <w:lang w:eastAsia="en-GB"/>
        </w:rPr>
        <w:t xml:space="preserve">, MIAAI, MSET, </w:t>
      </w:r>
      <w:proofErr w:type="spellStart"/>
      <w:r w:rsidRPr="0097028F">
        <w:rPr>
          <w:rFonts w:ascii="Arial" w:eastAsia="Times New Roman" w:hAnsi="Arial" w:cs="Arial"/>
          <w:sz w:val="18"/>
          <w:szCs w:val="18"/>
          <w:lang w:eastAsia="en-GB"/>
        </w:rPr>
        <w:t>MFireInv</w:t>
      </w:r>
      <w:proofErr w:type="spellEnd"/>
    </w:p>
    <w:p w14:paraId="2210699B" w14:textId="77777777" w:rsidR="0097028F" w:rsidRPr="0097028F" w:rsidRDefault="0097028F" w:rsidP="0097028F">
      <w:pPr>
        <w:tabs>
          <w:tab w:val="left" w:pos="5387"/>
        </w:tabs>
        <w:spacing w:after="0" w:line="240" w:lineRule="auto"/>
        <w:rPr>
          <w:rFonts w:ascii="Arial" w:eastAsia="Times New Roman" w:hAnsi="Arial" w:cs="Arial"/>
          <w:sz w:val="24"/>
          <w:szCs w:val="24"/>
          <w:lang w:eastAsia="en-GB"/>
        </w:rPr>
      </w:pPr>
      <w:r w:rsidRPr="0097028F">
        <w:rPr>
          <w:rFonts w:ascii="Arial" w:eastAsia="Times New Roman" w:hAnsi="Arial" w:cs="Arial"/>
          <w:sz w:val="24"/>
          <w:szCs w:val="24"/>
          <w:lang w:eastAsia="en-GB"/>
        </w:rPr>
        <w:t>Managing Director</w:t>
      </w:r>
      <w:r w:rsidRPr="0097028F">
        <w:rPr>
          <w:rFonts w:ascii="Arial" w:eastAsia="Times New Roman" w:hAnsi="Arial" w:cs="Arial"/>
          <w:sz w:val="24"/>
          <w:szCs w:val="24"/>
          <w:lang w:eastAsia="en-GB"/>
        </w:rPr>
        <w:tab/>
        <w:t>Consultant</w:t>
      </w:r>
    </w:p>
    <w:p w14:paraId="6AB02836" w14:textId="77777777" w:rsidR="0097028F" w:rsidRPr="0097028F" w:rsidRDefault="0097028F" w:rsidP="0097028F">
      <w:pPr>
        <w:tabs>
          <w:tab w:val="left" w:pos="5387"/>
        </w:tabs>
        <w:spacing w:after="0" w:line="240" w:lineRule="auto"/>
        <w:ind w:left="4320" w:hanging="4320"/>
        <w:rPr>
          <w:rFonts w:ascii="Arial" w:eastAsia="Times New Roman" w:hAnsi="Arial" w:cs="Arial"/>
          <w:sz w:val="24"/>
          <w:szCs w:val="24"/>
          <w:lang w:eastAsia="en-GB"/>
        </w:rPr>
      </w:pPr>
    </w:p>
    <w:p w14:paraId="030395B5" w14:textId="77777777" w:rsidR="0097028F" w:rsidRPr="0097028F" w:rsidRDefault="0097028F" w:rsidP="0097028F">
      <w:pPr>
        <w:tabs>
          <w:tab w:val="left" w:pos="5387"/>
        </w:tabs>
        <w:spacing w:after="0" w:line="240" w:lineRule="auto"/>
        <w:rPr>
          <w:rFonts w:ascii="Arial" w:eastAsia="Times New Roman" w:hAnsi="Arial" w:cs="Times New Roman"/>
          <w:sz w:val="24"/>
          <w:szCs w:val="24"/>
          <w:lang w:eastAsia="en-GB"/>
        </w:rPr>
      </w:pPr>
      <w:r w:rsidRPr="0097028F">
        <w:rPr>
          <w:rFonts w:ascii="Arial" w:eastAsia="Times New Roman" w:hAnsi="Arial" w:cs="Times New Roman"/>
          <w:sz w:val="24"/>
          <w:szCs w:val="24"/>
          <w:lang w:eastAsia="en-GB"/>
        </w:rPr>
        <w:tab/>
      </w:r>
      <w:r w:rsidRPr="0097028F">
        <w:rPr>
          <w:rFonts w:ascii="Arial" w:eastAsia="Times New Roman" w:hAnsi="Arial" w:cs="Times New Roman"/>
          <w:noProof/>
          <w:sz w:val="24"/>
          <w:szCs w:val="20"/>
          <w:lang w:eastAsia="en-GB"/>
        </w:rPr>
        <w:drawing>
          <wp:inline distT="0" distB="0" distL="0" distR="0" wp14:anchorId="5729D27D" wp14:editId="7A7CE7F0">
            <wp:extent cx="1085850" cy="4419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1085850" cy="441960"/>
                    </a:xfrm>
                    <a:prstGeom prst="rect">
                      <a:avLst/>
                    </a:prstGeom>
                  </pic:spPr>
                </pic:pic>
              </a:graphicData>
            </a:graphic>
          </wp:inline>
        </w:drawing>
      </w:r>
    </w:p>
    <w:p w14:paraId="3B92FE6C" w14:textId="77777777" w:rsidR="0097028F" w:rsidRPr="0097028F" w:rsidRDefault="0097028F" w:rsidP="0097028F">
      <w:pPr>
        <w:tabs>
          <w:tab w:val="left" w:pos="5387"/>
        </w:tabs>
        <w:spacing w:after="0" w:line="240" w:lineRule="auto"/>
        <w:rPr>
          <w:rFonts w:ascii="Arial" w:eastAsia="Times New Roman" w:hAnsi="Arial" w:cs="Times New Roman"/>
          <w:sz w:val="24"/>
          <w:szCs w:val="24"/>
          <w:lang w:eastAsia="en-GB"/>
        </w:rPr>
      </w:pPr>
      <w:r w:rsidRPr="0097028F">
        <w:rPr>
          <w:rFonts w:ascii="Arial" w:eastAsia="Times New Roman" w:hAnsi="Arial" w:cs="Times New Roman"/>
          <w:sz w:val="24"/>
          <w:szCs w:val="24"/>
          <w:lang w:eastAsia="en-GB"/>
        </w:rPr>
        <w:tab/>
        <w:t xml:space="preserve">PAUL CLAYTON </w:t>
      </w:r>
    </w:p>
    <w:p w14:paraId="11373B86" w14:textId="77777777" w:rsidR="0097028F" w:rsidRPr="0097028F" w:rsidRDefault="0097028F" w:rsidP="0097028F">
      <w:pPr>
        <w:tabs>
          <w:tab w:val="left" w:pos="5387"/>
        </w:tabs>
        <w:spacing w:after="0" w:line="240" w:lineRule="auto"/>
        <w:rPr>
          <w:rFonts w:ascii="Arial" w:eastAsia="Times New Roman" w:hAnsi="Arial" w:cs="Times New Roman"/>
          <w:sz w:val="18"/>
          <w:szCs w:val="24"/>
          <w:lang w:eastAsia="en-GB"/>
        </w:rPr>
      </w:pPr>
      <w:r w:rsidRPr="0097028F">
        <w:rPr>
          <w:rFonts w:ascii="Arial" w:eastAsia="Times New Roman" w:hAnsi="Arial" w:cs="Times New Roman"/>
          <w:sz w:val="18"/>
          <w:szCs w:val="24"/>
          <w:lang w:eastAsia="en-GB"/>
        </w:rPr>
        <w:tab/>
        <w:t xml:space="preserve">BSc, </w:t>
      </w:r>
      <w:proofErr w:type="spellStart"/>
      <w:r w:rsidRPr="0097028F">
        <w:rPr>
          <w:rFonts w:ascii="Arial" w:eastAsia="Times New Roman" w:hAnsi="Arial" w:cs="Times New Roman"/>
          <w:sz w:val="18"/>
          <w:szCs w:val="24"/>
          <w:lang w:eastAsia="en-GB"/>
        </w:rPr>
        <w:t>MIFireE</w:t>
      </w:r>
      <w:proofErr w:type="spellEnd"/>
    </w:p>
    <w:p w14:paraId="0EF33656" w14:textId="77777777" w:rsidR="0097028F" w:rsidRPr="0097028F" w:rsidRDefault="0097028F" w:rsidP="0097028F">
      <w:pPr>
        <w:tabs>
          <w:tab w:val="left" w:pos="5387"/>
        </w:tabs>
        <w:spacing w:after="0" w:line="240" w:lineRule="auto"/>
        <w:rPr>
          <w:rFonts w:ascii="Arial" w:eastAsia="Times New Roman" w:hAnsi="Arial" w:cs="Times New Roman"/>
          <w:sz w:val="24"/>
          <w:szCs w:val="24"/>
          <w:lang w:eastAsia="en-GB"/>
        </w:rPr>
      </w:pPr>
      <w:r w:rsidRPr="0097028F">
        <w:rPr>
          <w:rFonts w:ascii="Arial" w:eastAsia="Times New Roman" w:hAnsi="Arial" w:cs="Times New Roman"/>
          <w:sz w:val="24"/>
          <w:szCs w:val="24"/>
          <w:lang w:eastAsia="en-GB"/>
        </w:rPr>
        <w:tab/>
        <w:t>Fire Engineer</w:t>
      </w:r>
    </w:p>
    <w:p w14:paraId="23782CA1" w14:textId="77777777" w:rsidR="0097028F" w:rsidRPr="0097028F" w:rsidRDefault="0097028F" w:rsidP="0097028F">
      <w:pPr>
        <w:tabs>
          <w:tab w:val="left" w:pos="5387"/>
        </w:tabs>
        <w:spacing w:after="0" w:line="240" w:lineRule="auto"/>
        <w:rPr>
          <w:rFonts w:ascii="Arial" w:eastAsia="Times New Roman" w:hAnsi="Arial" w:cs="Times New Roman"/>
          <w:sz w:val="24"/>
          <w:szCs w:val="24"/>
          <w:lang w:eastAsia="en-GB"/>
        </w:rPr>
      </w:pPr>
    </w:p>
    <w:p w14:paraId="5454D67B" w14:textId="77777777" w:rsidR="0097028F" w:rsidRPr="0097028F" w:rsidRDefault="0097028F" w:rsidP="0097028F">
      <w:pPr>
        <w:tabs>
          <w:tab w:val="left" w:pos="5387"/>
          <w:tab w:val="left" w:pos="5670"/>
        </w:tabs>
        <w:spacing w:after="0" w:line="240" w:lineRule="auto"/>
        <w:rPr>
          <w:rFonts w:ascii="Arial" w:eastAsia="Times New Roman" w:hAnsi="Arial" w:cs="Times New Roman"/>
          <w:sz w:val="24"/>
          <w:szCs w:val="24"/>
          <w:lang w:eastAsia="en-GB"/>
        </w:rPr>
      </w:pPr>
      <w:r w:rsidRPr="0097028F">
        <w:rPr>
          <w:rFonts w:ascii="Arial" w:eastAsia="Times New Roman" w:hAnsi="Arial" w:cs="Times New Roman"/>
          <w:noProof/>
          <w:sz w:val="24"/>
          <w:szCs w:val="20"/>
          <w:lang w:eastAsia="en-GB"/>
        </w:rPr>
        <w:tab/>
      </w:r>
      <w:r w:rsidRPr="0097028F">
        <w:rPr>
          <w:rFonts w:ascii="Arial" w:eastAsia="Times New Roman" w:hAnsi="Arial" w:cs="Times New Roman"/>
          <w:sz w:val="24"/>
          <w:szCs w:val="24"/>
          <w:lang w:eastAsia="en-GB"/>
        </w:rPr>
        <w:tab/>
      </w:r>
      <w:r w:rsidRPr="0097028F">
        <w:rPr>
          <w:rFonts w:ascii="Arial" w:eastAsia="Times New Roman" w:hAnsi="Arial" w:cs="Times New Roman"/>
          <w:sz w:val="24"/>
          <w:szCs w:val="24"/>
          <w:lang w:eastAsia="en-GB"/>
        </w:rPr>
        <w:tab/>
      </w:r>
    </w:p>
    <w:p w14:paraId="55B51D26" w14:textId="77777777" w:rsidR="0097028F" w:rsidRPr="0097028F" w:rsidRDefault="0097028F" w:rsidP="0097028F">
      <w:pPr>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C.S. Todd &amp; Associates Ltd</w:t>
      </w:r>
    </w:p>
    <w:p w14:paraId="202C2D4C" w14:textId="77777777" w:rsidR="0097028F" w:rsidRPr="0097028F" w:rsidRDefault="0097028F" w:rsidP="0097028F">
      <w:pPr>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Hutton Roof</w:t>
      </w:r>
    </w:p>
    <w:p w14:paraId="59D28510" w14:textId="77777777" w:rsidR="0097028F" w:rsidRPr="0097028F" w:rsidRDefault="0097028F" w:rsidP="0097028F">
      <w:pPr>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Eglinton Road</w:t>
      </w:r>
    </w:p>
    <w:p w14:paraId="7C47A973" w14:textId="77777777" w:rsidR="0097028F" w:rsidRPr="0097028F" w:rsidRDefault="0097028F" w:rsidP="0097028F">
      <w:pPr>
        <w:spacing w:after="0" w:line="240" w:lineRule="auto"/>
        <w:rPr>
          <w:rFonts w:ascii="Arial" w:eastAsia="Times New Roman" w:hAnsi="Arial" w:cs="Arial"/>
          <w:sz w:val="24"/>
          <w:szCs w:val="20"/>
          <w:lang w:eastAsia="en-GB"/>
        </w:rPr>
      </w:pPr>
      <w:proofErr w:type="spellStart"/>
      <w:r w:rsidRPr="0097028F">
        <w:rPr>
          <w:rFonts w:ascii="Arial" w:eastAsia="Times New Roman" w:hAnsi="Arial" w:cs="Arial"/>
          <w:sz w:val="24"/>
          <w:szCs w:val="20"/>
          <w:lang w:eastAsia="en-GB"/>
        </w:rPr>
        <w:t>Rushmoor</w:t>
      </w:r>
      <w:proofErr w:type="spellEnd"/>
    </w:p>
    <w:p w14:paraId="643C9D88" w14:textId="77777777" w:rsidR="0097028F" w:rsidRPr="0097028F" w:rsidRDefault="0097028F" w:rsidP="0097028F">
      <w:pPr>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Farnham</w:t>
      </w:r>
    </w:p>
    <w:p w14:paraId="047454E2" w14:textId="77777777" w:rsidR="0097028F" w:rsidRPr="0097028F" w:rsidRDefault="0097028F" w:rsidP="0097028F">
      <w:pPr>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Surrey GU10 2DH</w:t>
      </w:r>
    </w:p>
    <w:p w14:paraId="7DE919D8" w14:textId="77777777" w:rsidR="0097028F" w:rsidRPr="0097028F" w:rsidRDefault="0097028F" w:rsidP="0097028F">
      <w:pPr>
        <w:spacing w:after="0" w:line="240" w:lineRule="auto"/>
        <w:rPr>
          <w:rFonts w:ascii="Arial" w:eastAsia="Times New Roman" w:hAnsi="Arial" w:cs="Arial"/>
          <w:sz w:val="24"/>
          <w:szCs w:val="20"/>
          <w:lang w:eastAsia="en-GB"/>
        </w:rPr>
      </w:pPr>
    </w:p>
    <w:p w14:paraId="72917910" w14:textId="77777777" w:rsidR="0097028F" w:rsidRPr="0097028F" w:rsidRDefault="0097028F" w:rsidP="0097028F">
      <w:pPr>
        <w:tabs>
          <w:tab w:val="left" w:pos="1080"/>
        </w:tabs>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Tel:</w:t>
      </w:r>
      <w:r w:rsidRPr="0097028F">
        <w:rPr>
          <w:rFonts w:ascii="Arial" w:eastAsia="Times New Roman" w:hAnsi="Arial" w:cs="Arial"/>
          <w:sz w:val="24"/>
          <w:szCs w:val="20"/>
          <w:lang w:eastAsia="en-GB"/>
        </w:rPr>
        <w:tab/>
        <w:t>01252 792088</w:t>
      </w:r>
    </w:p>
    <w:p w14:paraId="51DE55EB" w14:textId="77777777" w:rsidR="0097028F" w:rsidRPr="0097028F" w:rsidRDefault="0097028F" w:rsidP="0097028F">
      <w:pPr>
        <w:tabs>
          <w:tab w:val="left" w:pos="1080"/>
        </w:tabs>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Fax:</w:t>
      </w:r>
      <w:r w:rsidRPr="0097028F">
        <w:rPr>
          <w:rFonts w:ascii="Arial" w:eastAsia="Times New Roman" w:hAnsi="Arial" w:cs="Arial"/>
          <w:sz w:val="24"/>
          <w:szCs w:val="20"/>
          <w:lang w:eastAsia="en-GB"/>
        </w:rPr>
        <w:tab/>
        <w:t>01252 794165</w:t>
      </w:r>
    </w:p>
    <w:p w14:paraId="599302FE" w14:textId="77777777" w:rsidR="0097028F" w:rsidRPr="0097028F" w:rsidRDefault="0097028F" w:rsidP="0097028F">
      <w:pPr>
        <w:tabs>
          <w:tab w:val="left" w:pos="1080"/>
        </w:tabs>
        <w:spacing w:after="0" w:line="240" w:lineRule="auto"/>
        <w:rPr>
          <w:rFonts w:ascii="Arial" w:eastAsia="Times New Roman" w:hAnsi="Arial" w:cs="Arial"/>
          <w:sz w:val="24"/>
          <w:szCs w:val="20"/>
          <w:lang w:eastAsia="en-GB"/>
        </w:rPr>
      </w:pPr>
      <w:r w:rsidRPr="0097028F">
        <w:rPr>
          <w:rFonts w:ascii="Arial" w:eastAsia="Times New Roman" w:hAnsi="Arial" w:cs="Arial"/>
          <w:sz w:val="24"/>
          <w:szCs w:val="20"/>
          <w:lang w:eastAsia="en-GB"/>
        </w:rPr>
        <w:t>E-mail:</w:t>
      </w:r>
      <w:r w:rsidRPr="0097028F">
        <w:rPr>
          <w:rFonts w:ascii="Arial" w:eastAsia="Times New Roman" w:hAnsi="Arial" w:cs="Arial"/>
          <w:sz w:val="24"/>
          <w:szCs w:val="20"/>
          <w:lang w:eastAsia="en-GB"/>
        </w:rPr>
        <w:tab/>
        <w:t>office@cstodd.co.uk</w:t>
      </w:r>
    </w:p>
    <w:p w14:paraId="77E6B651" w14:textId="77777777" w:rsidR="0097028F" w:rsidRPr="0097028F" w:rsidRDefault="0097028F" w:rsidP="0097028F">
      <w:pPr>
        <w:tabs>
          <w:tab w:val="left" w:pos="1080"/>
        </w:tabs>
        <w:spacing w:after="0" w:line="240" w:lineRule="auto"/>
        <w:ind w:right="382"/>
        <w:jc w:val="both"/>
        <w:rPr>
          <w:rFonts w:ascii="Arial" w:eastAsia="Times New Roman" w:hAnsi="Arial" w:cs="Arial"/>
          <w:sz w:val="24"/>
          <w:szCs w:val="20"/>
          <w:lang w:eastAsia="en-GB"/>
        </w:rPr>
      </w:pPr>
      <w:r w:rsidRPr="0097028F">
        <w:rPr>
          <w:rFonts w:ascii="Arial" w:eastAsia="Times New Roman" w:hAnsi="Arial" w:cs="Arial"/>
          <w:sz w:val="24"/>
          <w:szCs w:val="20"/>
          <w:lang w:eastAsia="en-GB"/>
        </w:rPr>
        <w:t>Website:</w:t>
      </w:r>
      <w:r w:rsidRPr="0097028F">
        <w:rPr>
          <w:rFonts w:ascii="Arial" w:eastAsia="Times New Roman" w:hAnsi="Arial" w:cs="Arial"/>
          <w:sz w:val="24"/>
          <w:szCs w:val="20"/>
          <w:lang w:eastAsia="en-GB"/>
        </w:rPr>
        <w:tab/>
      </w:r>
      <w:hyperlink r:id="rId13" w:history="1">
        <w:r w:rsidRPr="0097028F">
          <w:rPr>
            <w:rFonts w:ascii="Arial" w:eastAsia="Times New Roman" w:hAnsi="Arial" w:cs="Arial"/>
            <w:sz w:val="24"/>
            <w:szCs w:val="20"/>
            <w:lang w:eastAsia="en-GB"/>
          </w:rPr>
          <w:t>www.cstodd.co.uk</w:t>
        </w:r>
      </w:hyperlink>
      <w:r w:rsidRPr="0097028F">
        <w:rPr>
          <w:rFonts w:ascii="Arial" w:eastAsia="Times New Roman" w:hAnsi="Arial" w:cs="Arial"/>
          <w:sz w:val="24"/>
          <w:szCs w:val="20"/>
          <w:lang w:eastAsia="en-GB"/>
        </w:rPr>
        <w:tab/>
      </w:r>
      <w:r w:rsidRPr="0097028F">
        <w:rPr>
          <w:rFonts w:ascii="Arial" w:eastAsia="Times New Roman" w:hAnsi="Arial" w:cs="Arial"/>
          <w:sz w:val="24"/>
          <w:szCs w:val="20"/>
          <w:lang w:eastAsia="en-GB"/>
        </w:rPr>
        <w:tab/>
      </w:r>
      <w:r w:rsidRPr="0097028F">
        <w:rPr>
          <w:rFonts w:ascii="Arial" w:eastAsia="Times New Roman" w:hAnsi="Arial" w:cs="Arial"/>
          <w:sz w:val="24"/>
          <w:szCs w:val="20"/>
          <w:lang w:eastAsia="en-GB"/>
        </w:rPr>
        <w:tab/>
      </w:r>
      <w:r w:rsidRPr="0097028F">
        <w:rPr>
          <w:rFonts w:ascii="Arial" w:eastAsia="Times New Roman" w:hAnsi="Arial" w:cs="Arial"/>
          <w:sz w:val="24"/>
          <w:szCs w:val="20"/>
          <w:lang w:eastAsia="en-GB"/>
        </w:rPr>
        <w:tab/>
      </w:r>
      <w:r w:rsidRPr="0097028F">
        <w:rPr>
          <w:rFonts w:ascii="Arial" w:eastAsia="Times New Roman" w:hAnsi="Arial" w:cs="Arial"/>
          <w:sz w:val="24"/>
          <w:szCs w:val="20"/>
          <w:lang w:eastAsia="en-GB"/>
        </w:rPr>
        <w:tab/>
      </w:r>
      <w:r w:rsidRPr="0097028F">
        <w:rPr>
          <w:rFonts w:ascii="Arial" w:eastAsia="Times New Roman" w:hAnsi="Arial" w:cs="Arial"/>
          <w:sz w:val="24"/>
          <w:szCs w:val="20"/>
          <w:lang w:eastAsia="en-GB"/>
        </w:rPr>
        <w:tab/>
        <w:t>August 2019</w:t>
      </w:r>
    </w:p>
    <w:p w14:paraId="68ED3EC7" w14:textId="77777777" w:rsidR="0097028F" w:rsidRPr="0097028F" w:rsidRDefault="0097028F" w:rsidP="0097028F">
      <w:pPr>
        <w:spacing w:after="0" w:line="240" w:lineRule="auto"/>
        <w:jc w:val="center"/>
        <w:rPr>
          <w:rFonts w:ascii="Arial" w:eastAsia="Times New Roman" w:hAnsi="Arial" w:cs="Times New Roman"/>
          <w:b/>
          <w:sz w:val="24"/>
          <w:szCs w:val="20"/>
          <w:lang w:eastAsia="en-GB"/>
        </w:rPr>
        <w:sectPr w:rsidR="0097028F" w:rsidRPr="0097028F">
          <w:headerReference w:type="default" r:id="rId14"/>
          <w:footerReference w:type="default" r:id="rId15"/>
          <w:pgSz w:w="11909" w:h="16834"/>
          <w:pgMar w:top="1440" w:right="1440" w:bottom="1440" w:left="1440" w:header="706" w:footer="706" w:gutter="0"/>
          <w:cols w:space="720"/>
        </w:sectPr>
      </w:pPr>
    </w:p>
    <w:p w14:paraId="1F3F1950" w14:textId="77777777" w:rsidR="0097028F" w:rsidRPr="0097028F" w:rsidRDefault="0097028F" w:rsidP="0097028F">
      <w:pPr>
        <w:spacing w:after="0" w:line="240" w:lineRule="auto"/>
        <w:ind w:left="851" w:hanging="851"/>
        <w:jc w:val="both"/>
        <w:rPr>
          <w:rFonts w:ascii="Arial" w:eastAsia="Times New Roman" w:hAnsi="Arial" w:cs="Times New Roman"/>
          <w:sz w:val="24"/>
          <w:szCs w:val="20"/>
          <w:lang w:eastAsia="en-GB"/>
        </w:rPr>
      </w:pPr>
      <w:bookmarkStart w:id="5" w:name="_Hlk530130764"/>
    </w:p>
    <w:p w14:paraId="52BACDEE"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r w:rsidRPr="00593AA5">
        <w:rPr>
          <w:rFonts w:eastAsia="Times New Roman" w:cstheme="minorHAnsi"/>
          <w:sz w:val="24"/>
          <w:szCs w:val="20"/>
          <w:lang w:eastAsia="en-GB"/>
        </w:rPr>
        <w:t>1.</w:t>
      </w:r>
      <w:r w:rsidRPr="00593AA5">
        <w:rPr>
          <w:rFonts w:eastAsia="Times New Roman" w:cstheme="minorHAnsi"/>
          <w:sz w:val="24"/>
          <w:szCs w:val="20"/>
          <w:lang w:eastAsia="en-GB"/>
        </w:rPr>
        <w:tab/>
        <w:t xml:space="preserve">The Local Government Association </w:t>
      </w:r>
      <w:r w:rsidR="00A55E9B" w:rsidRPr="00593AA5">
        <w:rPr>
          <w:rFonts w:eastAsia="Times New Roman" w:cstheme="minorHAnsi"/>
          <w:sz w:val="24"/>
          <w:szCs w:val="20"/>
          <w:lang w:eastAsia="en-GB"/>
        </w:rPr>
        <w:t>Guide</w:t>
      </w:r>
      <w:r w:rsidRPr="00593AA5">
        <w:rPr>
          <w:rFonts w:eastAsia="Times New Roman" w:cstheme="minorHAnsi"/>
          <w:sz w:val="24"/>
          <w:szCs w:val="20"/>
          <w:lang w:eastAsia="en-GB"/>
        </w:rPr>
        <w:t xml:space="preserve"> </w:t>
      </w:r>
      <w:r w:rsidR="00A55E9B" w:rsidRPr="00593AA5">
        <w:rPr>
          <w:rFonts w:eastAsia="Times New Roman" w:cstheme="minorHAnsi"/>
          <w:sz w:val="24"/>
          <w:szCs w:val="20"/>
          <w:lang w:eastAsia="en-GB"/>
        </w:rPr>
        <w:t>“</w:t>
      </w:r>
      <w:r w:rsidRPr="00593AA5">
        <w:rPr>
          <w:rFonts w:eastAsia="Times New Roman" w:cstheme="minorHAnsi"/>
          <w:i/>
          <w:sz w:val="24"/>
          <w:szCs w:val="20"/>
          <w:lang w:eastAsia="en-GB"/>
        </w:rPr>
        <w:t>Fire safety in purpose-built blocks of flats</w:t>
      </w:r>
      <w:r w:rsidRPr="00593AA5">
        <w:rPr>
          <w:rFonts w:eastAsia="Times New Roman" w:cstheme="minorHAnsi"/>
          <w:sz w:val="24"/>
          <w:szCs w:val="20"/>
          <w:lang w:eastAsia="x-none"/>
        </w:rPr>
        <w:t>” recommends that “Notional FD30 doors” (</w:t>
      </w:r>
      <w:proofErr w:type="gramStart"/>
      <w:r w:rsidRPr="00593AA5">
        <w:rPr>
          <w:rFonts w:eastAsia="Times New Roman" w:cstheme="minorHAnsi"/>
          <w:sz w:val="24"/>
          <w:szCs w:val="20"/>
          <w:lang w:eastAsia="x-none"/>
        </w:rPr>
        <w:t>i.e.</w:t>
      </w:r>
      <w:proofErr w:type="gramEnd"/>
      <w:r w:rsidRPr="00593AA5">
        <w:rPr>
          <w:rFonts w:eastAsia="Times New Roman" w:cstheme="minorHAnsi"/>
          <w:sz w:val="24"/>
          <w:szCs w:val="20"/>
          <w:lang w:eastAsia="x-none"/>
        </w:rPr>
        <w:t xml:space="preserve"> door assemblies that satisfied the specification, or fire resistance test, for 30 minutes at the time of construction of a block of flats or manufacture of the door) can be accepted in existing purpose-built blocks of flats, provided all other fire precautions are of an acceptable standard.  </w:t>
      </w:r>
    </w:p>
    <w:p w14:paraId="637B0251"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p>
    <w:p w14:paraId="0114DBFC"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r w:rsidRPr="00593AA5">
        <w:rPr>
          <w:rFonts w:eastAsia="Times New Roman" w:cstheme="minorHAnsi"/>
          <w:sz w:val="24"/>
          <w:szCs w:val="20"/>
          <w:lang w:eastAsia="x-none"/>
        </w:rPr>
        <w:t>2.</w:t>
      </w:r>
      <w:r w:rsidRPr="00593AA5">
        <w:rPr>
          <w:rFonts w:eastAsia="Times New Roman" w:cstheme="minorHAnsi"/>
          <w:sz w:val="24"/>
          <w:szCs w:val="20"/>
          <w:lang w:eastAsia="x-none"/>
        </w:rPr>
        <w:tab/>
        <w:t>However, it is recognised (but accepted) that, because of changes in the fire resistance test, these doorsets would probably achieve no more that 15-20 minutes fire resistance if tested today.  It should be stressed that this is not because of any defect in the manufacture of the doors, but is as a result of a change in requirements and the fire resistance test over the years.</w:t>
      </w:r>
    </w:p>
    <w:p w14:paraId="1847FE02"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p>
    <w:p w14:paraId="1CE853B1"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r w:rsidRPr="00593AA5">
        <w:rPr>
          <w:rFonts w:eastAsia="Times New Roman" w:cstheme="minorHAnsi"/>
          <w:sz w:val="24"/>
          <w:szCs w:val="20"/>
          <w:lang w:eastAsia="x-none"/>
        </w:rPr>
        <w:t>3.</w:t>
      </w:r>
      <w:r w:rsidRPr="00593AA5">
        <w:rPr>
          <w:rFonts w:eastAsia="Times New Roman" w:cstheme="minorHAnsi"/>
          <w:sz w:val="24"/>
          <w:szCs w:val="20"/>
          <w:lang w:eastAsia="x-none"/>
        </w:rPr>
        <w:tab/>
        <w:t xml:space="preserve">However, there are circumstances in which, as a result of shortcomings in other fire precautions, the LGA guide recommends upgrading of these old doors (by fitting intumescent strips and smoke seals), albeit acknowledging that the doors might not achieve full 30 fire resistance, or replacement of the doorset with a full FD30S certificated doorset. </w:t>
      </w:r>
    </w:p>
    <w:p w14:paraId="17DF7ECA"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p>
    <w:p w14:paraId="740FC02B"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r w:rsidRPr="00593AA5">
        <w:rPr>
          <w:rFonts w:eastAsia="Times New Roman" w:cstheme="minorHAnsi"/>
          <w:sz w:val="24"/>
          <w:szCs w:val="20"/>
          <w:lang w:eastAsia="x-none"/>
        </w:rPr>
        <w:t>4.</w:t>
      </w:r>
      <w:r w:rsidRPr="00593AA5">
        <w:rPr>
          <w:rFonts w:eastAsia="Times New Roman" w:cstheme="minorHAnsi"/>
          <w:sz w:val="24"/>
          <w:szCs w:val="20"/>
          <w:lang w:eastAsia="x-none"/>
        </w:rPr>
        <w:tab/>
        <w:t>This note sets out the circumstances in which replacement or upgrading of the doors is likely to be required for compliance with the LGA guide.  This will arise in any one (or more) of three circumstances, namely:</w:t>
      </w:r>
    </w:p>
    <w:p w14:paraId="1B4C1D55"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p>
    <w:p w14:paraId="520E10BB" w14:textId="77777777" w:rsidR="0097028F" w:rsidRPr="00593AA5" w:rsidRDefault="0097028F" w:rsidP="0097028F">
      <w:pPr>
        <w:numPr>
          <w:ilvl w:val="0"/>
          <w:numId w:val="6"/>
        </w:numPr>
        <w:spacing w:after="0" w:line="240" w:lineRule="auto"/>
        <w:ind w:left="1210"/>
        <w:contextualSpacing/>
        <w:jc w:val="both"/>
        <w:rPr>
          <w:rFonts w:eastAsia="Times New Roman" w:cstheme="minorHAnsi"/>
          <w:sz w:val="24"/>
          <w:szCs w:val="20"/>
          <w:lang w:eastAsia="x-none"/>
        </w:rPr>
      </w:pPr>
      <w:r w:rsidRPr="00593AA5">
        <w:rPr>
          <w:rFonts w:eastAsia="Times New Roman" w:cstheme="minorHAnsi"/>
          <w:sz w:val="24"/>
          <w:szCs w:val="20"/>
          <w:lang w:eastAsia="x-none"/>
        </w:rPr>
        <w:t>Excessive travel distance between flat entrance doors and the nearest stairway, so exposing residents to potentially long distance of travel through smoke.  This is the most common reason for upgrading or replacement of doors.  The reason for this is that, in single stairway buildings prior to 1990, a maximum distance of travel of 15m was accepted, but the maximum distance today is 7.5m.  Equally, in many old blocks of flats, fortuitously, the figure of 15m was not reached (e.g. in Grenfell Tower, the maximum distance was around 9m – 10m).</w:t>
      </w:r>
    </w:p>
    <w:p w14:paraId="00A4C163" w14:textId="77777777" w:rsidR="0097028F" w:rsidRPr="00593AA5" w:rsidRDefault="0097028F" w:rsidP="0097028F">
      <w:pPr>
        <w:numPr>
          <w:ilvl w:val="0"/>
          <w:numId w:val="6"/>
        </w:numPr>
        <w:spacing w:after="0" w:line="240" w:lineRule="auto"/>
        <w:ind w:left="1210"/>
        <w:contextualSpacing/>
        <w:jc w:val="both"/>
        <w:rPr>
          <w:rFonts w:eastAsia="Times New Roman" w:cstheme="minorHAnsi"/>
          <w:sz w:val="24"/>
          <w:szCs w:val="20"/>
          <w:lang w:eastAsia="x-none"/>
        </w:rPr>
      </w:pPr>
      <w:r w:rsidRPr="00593AA5">
        <w:rPr>
          <w:rFonts w:eastAsia="Times New Roman" w:cstheme="minorHAnsi"/>
          <w:sz w:val="24"/>
          <w:szCs w:val="20"/>
          <w:lang w:eastAsia="x-none"/>
        </w:rPr>
        <w:t>The absence of any lobby between flats and a single stairway (i.e. flat entrance doors opening directly onto the stairway).  This is only acceptable today in small, low rise blocks of flats, but can arise in, for example, old “mansion blocks” in London.  Equally, in some of these blocks, because of listed building requirements, the doors cannot be replaced, and an alternative solution, such as installation of a fire alarm system and abandonment of stay put is adopted.</w:t>
      </w:r>
    </w:p>
    <w:p w14:paraId="4B9B9236" w14:textId="77777777" w:rsidR="0097028F" w:rsidRPr="00593AA5" w:rsidRDefault="0097028F" w:rsidP="0097028F">
      <w:pPr>
        <w:numPr>
          <w:ilvl w:val="0"/>
          <w:numId w:val="6"/>
        </w:numPr>
        <w:spacing w:after="0" w:line="240" w:lineRule="auto"/>
        <w:ind w:left="1210"/>
        <w:contextualSpacing/>
        <w:jc w:val="both"/>
        <w:rPr>
          <w:rFonts w:eastAsia="Times New Roman" w:cstheme="minorHAnsi"/>
          <w:sz w:val="24"/>
          <w:szCs w:val="20"/>
          <w:lang w:eastAsia="x-none"/>
        </w:rPr>
      </w:pPr>
      <w:r w:rsidRPr="00593AA5">
        <w:rPr>
          <w:rFonts w:eastAsia="Times New Roman" w:cstheme="minorHAnsi"/>
          <w:sz w:val="24"/>
          <w:szCs w:val="20"/>
          <w:lang w:eastAsia="x-none"/>
        </w:rPr>
        <w:t>Blocks of flats with unsatisfactory smoke control arrangements.</w:t>
      </w:r>
    </w:p>
    <w:p w14:paraId="2A44F1A5" w14:textId="77777777" w:rsidR="0097028F" w:rsidRPr="00593AA5" w:rsidRDefault="0097028F" w:rsidP="0097028F">
      <w:pPr>
        <w:spacing w:after="0" w:line="240" w:lineRule="auto"/>
        <w:rPr>
          <w:rFonts w:eastAsia="Times New Roman" w:cstheme="minorHAnsi"/>
          <w:sz w:val="24"/>
          <w:szCs w:val="20"/>
          <w:lang w:eastAsia="en-GB"/>
        </w:rPr>
      </w:pPr>
    </w:p>
    <w:p w14:paraId="31F70595" w14:textId="77777777" w:rsidR="003F6DFA" w:rsidRPr="00593AA5" w:rsidRDefault="003F6DFA">
      <w:pPr>
        <w:rPr>
          <w:rFonts w:eastAsia="Times New Roman" w:cstheme="minorHAnsi"/>
          <w:b/>
          <w:sz w:val="24"/>
          <w:szCs w:val="20"/>
          <w:lang w:eastAsia="x-none"/>
        </w:rPr>
      </w:pPr>
      <w:r w:rsidRPr="00593AA5">
        <w:rPr>
          <w:rFonts w:eastAsia="Times New Roman" w:cstheme="minorHAnsi"/>
          <w:b/>
          <w:sz w:val="24"/>
          <w:szCs w:val="20"/>
          <w:lang w:eastAsia="x-none"/>
        </w:rPr>
        <w:br w:type="page"/>
      </w:r>
    </w:p>
    <w:p w14:paraId="6C9DF945" w14:textId="77777777" w:rsidR="0097028F" w:rsidRPr="00593AA5" w:rsidRDefault="0097028F" w:rsidP="0097028F">
      <w:pPr>
        <w:spacing w:after="0" w:line="240" w:lineRule="auto"/>
        <w:ind w:left="737"/>
        <w:jc w:val="both"/>
        <w:outlineLvl w:val="0"/>
        <w:rPr>
          <w:rFonts w:eastAsia="Times New Roman" w:cstheme="minorHAnsi"/>
          <w:b/>
          <w:sz w:val="24"/>
          <w:szCs w:val="20"/>
          <w:lang w:eastAsia="x-none"/>
        </w:rPr>
      </w:pPr>
      <w:r w:rsidRPr="00593AA5">
        <w:rPr>
          <w:rFonts w:eastAsia="Times New Roman" w:cstheme="minorHAnsi"/>
          <w:b/>
          <w:sz w:val="24"/>
          <w:szCs w:val="20"/>
          <w:lang w:eastAsia="x-none"/>
        </w:rPr>
        <w:lastRenderedPageBreak/>
        <w:t>Increased travel distance in single stairway buildings:  Lobbies without smoke ventilation</w:t>
      </w:r>
    </w:p>
    <w:p w14:paraId="0370CB99" w14:textId="77777777" w:rsidR="0097028F" w:rsidRPr="00593AA5" w:rsidRDefault="0097028F" w:rsidP="0097028F">
      <w:pPr>
        <w:spacing w:after="0" w:line="240" w:lineRule="auto"/>
        <w:rPr>
          <w:rFonts w:eastAsia="Times New Roman" w:cstheme="minorHAnsi"/>
          <w:sz w:val="24"/>
          <w:szCs w:val="20"/>
          <w:lang w:eastAsia="x-none"/>
        </w:rPr>
      </w:pPr>
    </w:p>
    <w:p w14:paraId="193F660E" w14:textId="77777777" w:rsidR="0097028F" w:rsidRPr="00593AA5" w:rsidRDefault="0097028F" w:rsidP="0097028F">
      <w:pPr>
        <w:spacing w:after="0" w:line="240" w:lineRule="auto"/>
        <w:ind w:left="720" w:hanging="720"/>
        <w:rPr>
          <w:rFonts w:eastAsia="Times New Roman" w:cstheme="minorHAnsi"/>
          <w:sz w:val="24"/>
          <w:szCs w:val="20"/>
          <w:lang w:eastAsia="x-none"/>
        </w:rPr>
      </w:pPr>
      <w:r w:rsidRPr="00593AA5">
        <w:rPr>
          <w:rFonts w:eastAsia="Times New Roman" w:cstheme="minorHAnsi"/>
          <w:sz w:val="24"/>
          <w:szCs w:val="20"/>
          <w:lang w:eastAsia="x-none"/>
        </w:rPr>
        <w:t>5.</w:t>
      </w:r>
      <w:r w:rsidRPr="00593AA5">
        <w:rPr>
          <w:rFonts w:eastAsia="Times New Roman" w:cstheme="minorHAnsi"/>
          <w:sz w:val="24"/>
          <w:szCs w:val="20"/>
          <w:lang w:eastAsia="x-none"/>
        </w:rPr>
        <w:tab/>
        <w:t>Where there is an unventilated lobby, the maximum distance of travel under current guidance is reduced from 7.5m to 4.5m.  However, the LGA guide accepts a distance of up to 6m with no additional measures.</w:t>
      </w:r>
    </w:p>
    <w:p w14:paraId="303AE6C7" w14:textId="77777777" w:rsidR="0097028F" w:rsidRPr="00593AA5" w:rsidRDefault="0097028F" w:rsidP="0097028F">
      <w:pPr>
        <w:spacing w:after="0" w:line="240" w:lineRule="auto"/>
        <w:ind w:left="720" w:hanging="720"/>
        <w:rPr>
          <w:rFonts w:eastAsia="Times New Roman" w:cstheme="minorHAnsi"/>
          <w:sz w:val="24"/>
          <w:szCs w:val="20"/>
          <w:lang w:eastAsia="x-none"/>
        </w:rPr>
      </w:pPr>
    </w:p>
    <w:p w14:paraId="5EB422E7" w14:textId="77777777" w:rsidR="0097028F" w:rsidRPr="00593AA5" w:rsidRDefault="0097028F" w:rsidP="0097028F">
      <w:pPr>
        <w:spacing w:after="0" w:line="240" w:lineRule="auto"/>
        <w:ind w:left="720" w:hanging="720"/>
        <w:rPr>
          <w:rFonts w:eastAsia="Times New Roman" w:cstheme="minorHAnsi"/>
          <w:sz w:val="24"/>
          <w:szCs w:val="20"/>
          <w:lang w:eastAsia="x-none"/>
        </w:rPr>
      </w:pPr>
      <w:r w:rsidRPr="00593AA5">
        <w:rPr>
          <w:rFonts w:eastAsia="Times New Roman" w:cstheme="minorHAnsi"/>
          <w:sz w:val="24"/>
          <w:szCs w:val="20"/>
          <w:lang w:eastAsia="x-none"/>
        </w:rPr>
        <w:t>6.</w:t>
      </w:r>
      <w:r w:rsidRPr="00593AA5">
        <w:rPr>
          <w:rFonts w:eastAsia="Times New Roman" w:cstheme="minorHAnsi"/>
          <w:sz w:val="24"/>
          <w:szCs w:val="20"/>
          <w:lang w:eastAsia="x-none"/>
        </w:rPr>
        <w:tab/>
        <w:t>Where the travel distance is between 6m and 7.5m, upgrading of flat entrance doors is recommended.  (Beyond 7.5m, the LGA guide recommends that the lobby should be ventilated, in which case the situation is then as below).</w:t>
      </w:r>
    </w:p>
    <w:p w14:paraId="3FABE41D"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p>
    <w:p w14:paraId="405B1177" w14:textId="77777777" w:rsidR="0097028F" w:rsidRPr="00593AA5" w:rsidRDefault="0097028F" w:rsidP="0097028F">
      <w:pPr>
        <w:spacing w:after="0" w:line="240" w:lineRule="auto"/>
        <w:ind w:left="737"/>
        <w:jc w:val="both"/>
        <w:outlineLvl w:val="0"/>
        <w:rPr>
          <w:rFonts w:eastAsia="Times New Roman" w:cstheme="minorHAnsi"/>
          <w:b/>
          <w:sz w:val="24"/>
          <w:szCs w:val="20"/>
          <w:lang w:eastAsia="x-none"/>
        </w:rPr>
      </w:pPr>
      <w:r w:rsidRPr="00593AA5">
        <w:rPr>
          <w:rFonts w:eastAsia="Times New Roman" w:cstheme="minorHAnsi"/>
          <w:b/>
          <w:sz w:val="24"/>
          <w:szCs w:val="20"/>
          <w:lang w:eastAsia="x-none"/>
        </w:rPr>
        <w:t>Increased travel distance in single stairway buildings:  Lobbies with smoke ventilation</w:t>
      </w:r>
    </w:p>
    <w:p w14:paraId="00B9CF69" w14:textId="77777777" w:rsidR="0097028F" w:rsidRPr="00593AA5" w:rsidRDefault="0097028F" w:rsidP="0097028F">
      <w:pPr>
        <w:spacing w:after="0" w:line="240" w:lineRule="auto"/>
        <w:rPr>
          <w:rFonts w:eastAsia="Times New Roman" w:cstheme="minorHAnsi"/>
          <w:sz w:val="24"/>
          <w:szCs w:val="20"/>
          <w:lang w:eastAsia="x-none"/>
        </w:rPr>
      </w:pPr>
    </w:p>
    <w:p w14:paraId="7356A610" w14:textId="77777777" w:rsidR="0097028F" w:rsidRPr="00593AA5" w:rsidRDefault="0097028F" w:rsidP="0097028F">
      <w:pPr>
        <w:spacing w:after="0" w:line="240" w:lineRule="auto"/>
        <w:ind w:left="720" w:hanging="720"/>
        <w:rPr>
          <w:rFonts w:eastAsia="Times New Roman" w:cstheme="minorHAnsi"/>
          <w:sz w:val="24"/>
          <w:szCs w:val="20"/>
          <w:lang w:eastAsia="x-none"/>
        </w:rPr>
      </w:pPr>
      <w:r w:rsidRPr="00593AA5">
        <w:rPr>
          <w:rFonts w:eastAsia="Times New Roman" w:cstheme="minorHAnsi"/>
          <w:sz w:val="24"/>
          <w:szCs w:val="20"/>
          <w:lang w:eastAsia="x-none"/>
        </w:rPr>
        <w:t>7.</w:t>
      </w:r>
      <w:r w:rsidRPr="00593AA5">
        <w:rPr>
          <w:rFonts w:eastAsia="Times New Roman" w:cstheme="minorHAnsi"/>
          <w:sz w:val="24"/>
          <w:szCs w:val="20"/>
          <w:lang w:eastAsia="x-none"/>
        </w:rPr>
        <w:tab/>
        <w:t>In this case, the LGA guide accepts a travel distance of up to 10m with no additional measures.</w:t>
      </w:r>
    </w:p>
    <w:p w14:paraId="5E2DB97C" w14:textId="77777777" w:rsidR="0097028F" w:rsidRPr="00593AA5" w:rsidRDefault="0097028F" w:rsidP="0097028F">
      <w:pPr>
        <w:spacing w:after="0" w:line="240" w:lineRule="auto"/>
        <w:ind w:left="720" w:hanging="720"/>
        <w:rPr>
          <w:rFonts w:eastAsia="Times New Roman" w:cstheme="minorHAnsi"/>
          <w:sz w:val="24"/>
          <w:szCs w:val="20"/>
          <w:lang w:eastAsia="x-none"/>
        </w:rPr>
      </w:pPr>
    </w:p>
    <w:p w14:paraId="1B31B13A" w14:textId="77777777" w:rsidR="0097028F" w:rsidRPr="00593AA5" w:rsidRDefault="0097028F" w:rsidP="0097028F">
      <w:pPr>
        <w:spacing w:after="0" w:line="240" w:lineRule="auto"/>
        <w:ind w:left="720" w:hanging="720"/>
        <w:rPr>
          <w:rFonts w:eastAsia="Times New Roman" w:cstheme="minorHAnsi"/>
          <w:sz w:val="24"/>
          <w:szCs w:val="20"/>
          <w:lang w:eastAsia="x-none"/>
        </w:rPr>
      </w:pPr>
      <w:r w:rsidRPr="00593AA5">
        <w:rPr>
          <w:rFonts w:eastAsia="Times New Roman" w:cstheme="minorHAnsi"/>
          <w:sz w:val="24"/>
          <w:szCs w:val="20"/>
          <w:lang w:eastAsia="x-none"/>
        </w:rPr>
        <w:t>8.</w:t>
      </w:r>
      <w:r w:rsidRPr="00593AA5">
        <w:rPr>
          <w:rFonts w:eastAsia="Times New Roman" w:cstheme="minorHAnsi"/>
          <w:sz w:val="24"/>
          <w:szCs w:val="20"/>
          <w:lang w:eastAsia="x-none"/>
        </w:rPr>
        <w:tab/>
        <w:t>In lobbies and corridors with a travel distance of 10m - 15m, upgrading of flat entrance doors is recommended.</w:t>
      </w:r>
    </w:p>
    <w:p w14:paraId="5C68B61E" w14:textId="77777777" w:rsidR="0097028F" w:rsidRPr="00593AA5" w:rsidRDefault="0097028F" w:rsidP="0097028F">
      <w:pPr>
        <w:spacing w:after="0" w:line="240" w:lineRule="auto"/>
        <w:ind w:left="720" w:hanging="720"/>
        <w:rPr>
          <w:rFonts w:eastAsia="Times New Roman" w:cstheme="minorHAnsi"/>
          <w:sz w:val="24"/>
          <w:szCs w:val="20"/>
          <w:lang w:eastAsia="x-none"/>
        </w:rPr>
      </w:pPr>
    </w:p>
    <w:p w14:paraId="381F71A5" w14:textId="77777777" w:rsidR="0097028F" w:rsidRPr="00593AA5" w:rsidRDefault="0097028F" w:rsidP="0097028F">
      <w:pPr>
        <w:spacing w:after="0" w:line="240" w:lineRule="auto"/>
        <w:ind w:left="720" w:hanging="720"/>
        <w:rPr>
          <w:rFonts w:eastAsia="Times New Roman" w:cstheme="minorHAnsi"/>
          <w:sz w:val="24"/>
          <w:szCs w:val="20"/>
          <w:lang w:eastAsia="x-none"/>
        </w:rPr>
      </w:pPr>
      <w:r w:rsidRPr="00593AA5">
        <w:rPr>
          <w:rFonts w:eastAsia="Times New Roman" w:cstheme="minorHAnsi"/>
          <w:sz w:val="24"/>
          <w:szCs w:val="20"/>
          <w:lang w:eastAsia="x-none"/>
        </w:rPr>
        <w:t>9.</w:t>
      </w:r>
      <w:r w:rsidRPr="00593AA5">
        <w:rPr>
          <w:rFonts w:eastAsia="Times New Roman" w:cstheme="minorHAnsi"/>
          <w:sz w:val="24"/>
          <w:szCs w:val="20"/>
          <w:lang w:eastAsia="x-none"/>
        </w:rPr>
        <w:tab/>
        <w:t>Where travel distance is over 15m (which is very unusual), replacement of flat entrance doors is likely to be necessary (along with other measures).</w:t>
      </w:r>
    </w:p>
    <w:p w14:paraId="29578B21" w14:textId="77777777" w:rsidR="0097028F" w:rsidRPr="00593AA5" w:rsidRDefault="0097028F" w:rsidP="0097028F">
      <w:pPr>
        <w:spacing w:after="0" w:line="240" w:lineRule="auto"/>
        <w:ind w:left="720" w:hanging="720"/>
        <w:rPr>
          <w:rFonts w:eastAsia="Times New Roman" w:cstheme="minorHAnsi"/>
          <w:sz w:val="24"/>
          <w:szCs w:val="20"/>
          <w:lang w:eastAsia="x-none"/>
        </w:rPr>
      </w:pPr>
    </w:p>
    <w:p w14:paraId="1E812FB5" w14:textId="77777777" w:rsidR="0097028F" w:rsidRPr="00593AA5" w:rsidRDefault="0097028F" w:rsidP="0097028F">
      <w:pPr>
        <w:spacing w:after="0" w:line="240" w:lineRule="auto"/>
        <w:ind w:left="737"/>
        <w:jc w:val="both"/>
        <w:outlineLvl w:val="0"/>
        <w:rPr>
          <w:rFonts w:eastAsia="Times New Roman" w:cstheme="minorHAnsi"/>
          <w:b/>
          <w:sz w:val="24"/>
          <w:szCs w:val="20"/>
          <w:lang w:eastAsia="x-none"/>
        </w:rPr>
      </w:pPr>
      <w:r w:rsidRPr="00593AA5">
        <w:rPr>
          <w:rFonts w:eastAsia="Times New Roman" w:cstheme="minorHAnsi"/>
          <w:b/>
          <w:sz w:val="24"/>
          <w:szCs w:val="20"/>
          <w:lang w:eastAsia="x-none"/>
        </w:rPr>
        <w:t>Increased travel distance in multi-stairway buildings</w:t>
      </w:r>
    </w:p>
    <w:p w14:paraId="5D0FE781" w14:textId="77777777" w:rsidR="0097028F" w:rsidRPr="00593AA5" w:rsidRDefault="0097028F" w:rsidP="0097028F">
      <w:pPr>
        <w:spacing w:after="0" w:line="240" w:lineRule="auto"/>
        <w:rPr>
          <w:rFonts w:eastAsia="Times New Roman" w:cstheme="minorHAnsi"/>
          <w:sz w:val="24"/>
          <w:szCs w:val="20"/>
          <w:lang w:eastAsia="x-none"/>
        </w:rPr>
      </w:pPr>
    </w:p>
    <w:p w14:paraId="463114E8" w14:textId="77777777" w:rsidR="0097028F" w:rsidRPr="00593AA5" w:rsidRDefault="0097028F" w:rsidP="0097028F">
      <w:pPr>
        <w:spacing w:after="0" w:line="240" w:lineRule="auto"/>
        <w:ind w:left="720" w:hanging="720"/>
        <w:rPr>
          <w:rFonts w:eastAsia="Times New Roman" w:cstheme="minorHAnsi"/>
          <w:sz w:val="24"/>
          <w:szCs w:val="20"/>
          <w:lang w:eastAsia="x-none"/>
        </w:rPr>
      </w:pPr>
      <w:r w:rsidRPr="00593AA5">
        <w:rPr>
          <w:rFonts w:eastAsia="Times New Roman" w:cstheme="minorHAnsi"/>
          <w:sz w:val="24"/>
          <w:szCs w:val="20"/>
          <w:lang w:eastAsia="x-none"/>
        </w:rPr>
        <w:t>10.</w:t>
      </w:r>
      <w:r w:rsidRPr="00593AA5">
        <w:rPr>
          <w:rFonts w:eastAsia="Times New Roman" w:cstheme="minorHAnsi"/>
          <w:sz w:val="24"/>
          <w:szCs w:val="20"/>
          <w:lang w:eastAsia="x-none"/>
        </w:rPr>
        <w:tab/>
        <w:t xml:space="preserve">The current maximum travel distance is 30m.  The LGA accepts a figure of up to 40m for existing buildings.  </w:t>
      </w:r>
    </w:p>
    <w:p w14:paraId="63FBE856" w14:textId="77777777" w:rsidR="0097028F" w:rsidRPr="00593AA5" w:rsidRDefault="0097028F" w:rsidP="0097028F">
      <w:pPr>
        <w:spacing w:after="0" w:line="240" w:lineRule="auto"/>
        <w:ind w:left="720" w:hanging="720"/>
        <w:rPr>
          <w:rFonts w:eastAsia="Times New Roman" w:cstheme="minorHAnsi"/>
          <w:sz w:val="24"/>
          <w:szCs w:val="20"/>
          <w:lang w:eastAsia="x-none"/>
        </w:rPr>
      </w:pPr>
    </w:p>
    <w:p w14:paraId="520D2633" w14:textId="77777777" w:rsidR="0097028F" w:rsidRPr="00593AA5" w:rsidRDefault="0097028F" w:rsidP="0097028F">
      <w:pPr>
        <w:spacing w:after="0" w:line="240" w:lineRule="auto"/>
        <w:ind w:left="720" w:hanging="720"/>
        <w:rPr>
          <w:rFonts w:eastAsia="Times New Roman" w:cstheme="minorHAnsi"/>
          <w:sz w:val="24"/>
          <w:szCs w:val="20"/>
          <w:lang w:eastAsia="x-none"/>
        </w:rPr>
      </w:pPr>
      <w:r w:rsidRPr="00593AA5">
        <w:rPr>
          <w:rFonts w:eastAsia="Times New Roman" w:cstheme="minorHAnsi"/>
          <w:sz w:val="24"/>
          <w:szCs w:val="20"/>
          <w:lang w:eastAsia="x-none"/>
        </w:rPr>
        <w:t>11.</w:t>
      </w:r>
      <w:r w:rsidRPr="00593AA5">
        <w:rPr>
          <w:rFonts w:eastAsia="Times New Roman" w:cstheme="minorHAnsi"/>
          <w:sz w:val="24"/>
          <w:szCs w:val="20"/>
          <w:lang w:eastAsia="x-none"/>
        </w:rPr>
        <w:tab/>
        <w:t>If the travel distance exceeds 40m (which, in my experience, is virtually unknown), replacement FD30S doors are likely to be necessary.</w:t>
      </w:r>
    </w:p>
    <w:p w14:paraId="5D7F4F23"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p>
    <w:p w14:paraId="780BDF08" w14:textId="77777777" w:rsidR="0097028F" w:rsidRPr="00593AA5" w:rsidRDefault="0097028F" w:rsidP="0097028F">
      <w:pPr>
        <w:spacing w:after="0" w:line="240" w:lineRule="auto"/>
        <w:ind w:left="737"/>
        <w:jc w:val="both"/>
        <w:outlineLvl w:val="0"/>
        <w:rPr>
          <w:rFonts w:eastAsia="Times New Roman" w:cstheme="minorHAnsi"/>
          <w:b/>
          <w:sz w:val="24"/>
          <w:szCs w:val="20"/>
          <w:lang w:eastAsia="x-none"/>
        </w:rPr>
      </w:pPr>
      <w:r w:rsidRPr="00593AA5">
        <w:rPr>
          <w:rFonts w:eastAsia="Times New Roman" w:cstheme="minorHAnsi"/>
          <w:b/>
          <w:sz w:val="24"/>
          <w:szCs w:val="20"/>
          <w:lang w:eastAsia="x-none"/>
        </w:rPr>
        <w:t>Flats opening directly onto a single stairway</w:t>
      </w:r>
    </w:p>
    <w:p w14:paraId="7A7836A1"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p>
    <w:p w14:paraId="70D4C116" w14:textId="77777777" w:rsidR="0097028F" w:rsidRPr="00593AA5" w:rsidRDefault="0097028F" w:rsidP="0097028F">
      <w:pPr>
        <w:spacing w:after="0" w:line="240" w:lineRule="auto"/>
        <w:ind w:left="720" w:hanging="720"/>
        <w:rPr>
          <w:rFonts w:eastAsia="Times New Roman" w:cstheme="minorHAnsi"/>
          <w:sz w:val="24"/>
          <w:szCs w:val="20"/>
          <w:lang w:eastAsia="x-none"/>
        </w:rPr>
      </w:pPr>
      <w:r w:rsidRPr="00593AA5">
        <w:rPr>
          <w:rFonts w:eastAsia="Times New Roman" w:cstheme="minorHAnsi"/>
          <w:sz w:val="24"/>
          <w:szCs w:val="20"/>
          <w:lang w:eastAsia="x-none"/>
        </w:rPr>
        <w:t>12.</w:t>
      </w:r>
      <w:r w:rsidRPr="00593AA5">
        <w:rPr>
          <w:rFonts w:eastAsia="Times New Roman" w:cstheme="minorHAnsi"/>
          <w:sz w:val="24"/>
          <w:szCs w:val="20"/>
          <w:lang w:eastAsia="x-none"/>
        </w:rPr>
        <w:tab/>
        <w:t>The LGA guidance in this case is as follows:</w:t>
      </w:r>
    </w:p>
    <w:p w14:paraId="2D0059E9" w14:textId="77777777" w:rsidR="0097028F" w:rsidRPr="00593AA5" w:rsidRDefault="0097028F" w:rsidP="0097028F">
      <w:pPr>
        <w:spacing w:after="0" w:line="240" w:lineRule="auto"/>
        <w:ind w:left="851" w:hanging="851"/>
        <w:jc w:val="both"/>
        <w:rPr>
          <w:rFonts w:eastAsia="Times New Roman" w:cstheme="minorHAnsi"/>
          <w:sz w:val="24"/>
          <w:szCs w:val="20"/>
          <w:lang w:eastAsia="x-none"/>
        </w:rPr>
      </w:pPr>
    </w:p>
    <w:p w14:paraId="01860F4C" w14:textId="77777777" w:rsidR="0097028F" w:rsidRPr="00593AA5" w:rsidRDefault="0097028F" w:rsidP="0097028F">
      <w:pPr>
        <w:numPr>
          <w:ilvl w:val="0"/>
          <w:numId w:val="7"/>
        </w:numPr>
        <w:spacing w:after="0" w:line="240" w:lineRule="auto"/>
        <w:contextualSpacing/>
        <w:jc w:val="both"/>
        <w:rPr>
          <w:rFonts w:eastAsia="Times New Roman" w:cstheme="minorHAnsi"/>
          <w:sz w:val="24"/>
          <w:szCs w:val="20"/>
          <w:lang w:eastAsia="x-none"/>
        </w:rPr>
      </w:pPr>
      <w:r w:rsidRPr="00593AA5">
        <w:rPr>
          <w:rFonts w:eastAsia="Times New Roman" w:cstheme="minorHAnsi"/>
          <w:sz w:val="24"/>
          <w:szCs w:val="20"/>
          <w:lang w:eastAsia="x-none"/>
        </w:rPr>
        <w:t xml:space="preserve">Up to 4 </w:t>
      </w:r>
      <w:proofErr w:type="spellStart"/>
      <w:r w:rsidRPr="00593AA5">
        <w:rPr>
          <w:rFonts w:eastAsia="Times New Roman" w:cstheme="minorHAnsi"/>
          <w:sz w:val="24"/>
          <w:szCs w:val="20"/>
          <w:lang w:eastAsia="x-none"/>
        </w:rPr>
        <w:t>storeys</w:t>
      </w:r>
      <w:proofErr w:type="spellEnd"/>
      <w:r w:rsidRPr="00593AA5">
        <w:rPr>
          <w:rFonts w:eastAsia="Times New Roman" w:cstheme="minorHAnsi"/>
          <w:sz w:val="24"/>
          <w:szCs w:val="20"/>
          <w:lang w:eastAsia="x-none"/>
        </w:rPr>
        <w:t xml:space="preserve"> in height, old doors can remain.</w:t>
      </w:r>
    </w:p>
    <w:p w14:paraId="0F058D4F" w14:textId="77777777" w:rsidR="0097028F" w:rsidRPr="00593AA5" w:rsidRDefault="0097028F" w:rsidP="0097028F">
      <w:pPr>
        <w:numPr>
          <w:ilvl w:val="0"/>
          <w:numId w:val="7"/>
        </w:numPr>
        <w:spacing w:after="0" w:line="240" w:lineRule="auto"/>
        <w:contextualSpacing/>
        <w:jc w:val="both"/>
        <w:rPr>
          <w:rFonts w:eastAsia="Times New Roman" w:cstheme="minorHAnsi"/>
          <w:sz w:val="24"/>
          <w:szCs w:val="20"/>
          <w:lang w:eastAsia="x-none"/>
        </w:rPr>
      </w:pPr>
      <w:r w:rsidRPr="00593AA5">
        <w:rPr>
          <w:rFonts w:eastAsia="Times New Roman" w:cstheme="minorHAnsi"/>
          <w:sz w:val="24"/>
          <w:szCs w:val="20"/>
          <w:lang w:eastAsia="x-none"/>
        </w:rPr>
        <w:t>For 5 and 6 storey buildings, upgraded doors are recommended</w:t>
      </w:r>
    </w:p>
    <w:p w14:paraId="630ADA1A" w14:textId="77777777" w:rsidR="0097028F" w:rsidRPr="00593AA5" w:rsidRDefault="0097028F" w:rsidP="0097028F">
      <w:pPr>
        <w:numPr>
          <w:ilvl w:val="0"/>
          <w:numId w:val="7"/>
        </w:numPr>
        <w:spacing w:after="0" w:line="240" w:lineRule="auto"/>
        <w:contextualSpacing/>
        <w:jc w:val="both"/>
        <w:rPr>
          <w:rFonts w:eastAsia="Times New Roman" w:cstheme="minorHAnsi"/>
          <w:sz w:val="24"/>
          <w:szCs w:val="20"/>
          <w:lang w:eastAsia="x-none"/>
        </w:rPr>
      </w:pPr>
      <w:r w:rsidRPr="00593AA5">
        <w:rPr>
          <w:rFonts w:eastAsia="Times New Roman" w:cstheme="minorHAnsi"/>
          <w:sz w:val="24"/>
          <w:szCs w:val="20"/>
          <w:lang w:eastAsia="x-none"/>
        </w:rPr>
        <w:t>Over six storeys (which will be very uncommon), replacement FD30S doors are necessary.</w:t>
      </w:r>
    </w:p>
    <w:p w14:paraId="325E0AF3" w14:textId="77777777" w:rsidR="0097028F" w:rsidRPr="00593AA5" w:rsidRDefault="0097028F" w:rsidP="0097028F">
      <w:pPr>
        <w:spacing w:after="0" w:line="240" w:lineRule="auto"/>
        <w:ind w:left="720"/>
        <w:contextualSpacing/>
        <w:jc w:val="both"/>
        <w:rPr>
          <w:rFonts w:eastAsia="Times New Roman" w:cstheme="minorHAnsi"/>
          <w:sz w:val="24"/>
          <w:szCs w:val="20"/>
          <w:lang w:eastAsia="x-none"/>
        </w:rPr>
      </w:pPr>
    </w:p>
    <w:p w14:paraId="5CD6D2DC" w14:textId="77777777" w:rsidR="0097028F" w:rsidRPr="00593AA5" w:rsidRDefault="0097028F" w:rsidP="0097028F">
      <w:pPr>
        <w:spacing w:after="0" w:line="240" w:lineRule="auto"/>
        <w:ind w:left="737"/>
        <w:jc w:val="both"/>
        <w:outlineLvl w:val="0"/>
        <w:rPr>
          <w:rFonts w:eastAsia="Times New Roman" w:cstheme="minorHAnsi"/>
          <w:b/>
          <w:sz w:val="24"/>
          <w:szCs w:val="20"/>
          <w:lang w:eastAsia="x-none"/>
        </w:rPr>
      </w:pPr>
      <w:r w:rsidRPr="00593AA5">
        <w:rPr>
          <w:rFonts w:eastAsia="Times New Roman" w:cstheme="minorHAnsi"/>
          <w:b/>
          <w:sz w:val="24"/>
          <w:szCs w:val="20"/>
          <w:lang w:eastAsia="x-none"/>
        </w:rPr>
        <w:t>Inadequate smoke control</w:t>
      </w:r>
    </w:p>
    <w:p w14:paraId="38641FCF" w14:textId="77777777" w:rsidR="0097028F" w:rsidRPr="00593AA5" w:rsidRDefault="0097028F" w:rsidP="0097028F">
      <w:pPr>
        <w:spacing w:after="0" w:line="240" w:lineRule="auto"/>
        <w:ind w:left="720"/>
        <w:contextualSpacing/>
        <w:jc w:val="both"/>
        <w:rPr>
          <w:rFonts w:eastAsia="Times New Roman" w:cstheme="minorHAnsi"/>
          <w:sz w:val="24"/>
          <w:szCs w:val="20"/>
          <w:lang w:eastAsia="x-none"/>
        </w:rPr>
      </w:pPr>
    </w:p>
    <w:p w14:paraId="74251286" w14:textId="77777777" w:rsidR="00E1708F" w:rsidRPr="00593AA5" w:rsidRDefault="0097028F" w:rsidP="003F6DFA">
      <w:pPr>
        <w:spacing w:after="0" w:line="240" w:lineRule="auto"/>
        <w:ind w:left="720" w:hanging="720"/>
        <w:jc w:val="both"/>
        <w:rPr>
          <w:rFonts w:cstheme="minorHAnsi"/>
          <w:sz w:val="24"/>
          <w:szCs w:val="24"/>
        </w:rPr>
      </w:pPr>
      <w:r w:rsidRPr="00593AA5">
        <w:rPr>
          <w:rFonts w:eastAsia="Times New Roman" w:cstheme="minorHAnsi"/>
          <w:sz w:val="24"/>
          <w:szCs w:val="20"/>
          <w:lang w:eastAsia="x-none"/>
        </w:rPr>
        <w:t>13.</w:t>
      </w:r>
      <w:r w:rsidRPr="00593AA5">
        <w:rPr>
          <w:rFonts w:eastAsia="Times New Roman" w:cstheme="minorHAnsi"/>
          <w:sz w:val="24"/>
          <w:szCs w:val="20"/>
          <w:lang w:eastAsia="x-none"/>
        </w:rPr>
        <w:tab/>
        <w:t xml:space="preserve">In general, the LGA does not specifically recommend upgrading or replacement doors as a means for compensating for inadequate smoke control.  Where necessary smoke control should be improved appropriately.  However, it is not impossible that a </w:t>
      </w:r>
      <w:r w:rsidRPr="00593AA5">
        <w:rPr>
          <w:rFonts w:eastAsia="Times New Roman" w:cstheme="minorHAnsi"/>
          <w:sz w:val="24"/>
          <w:szCs w:val="20"/>
          <w:lang w:eastAsia="x-none"/>
        </w:rPr>
        <w:lastRenderedPageBreak/>
        <w:t>competent person might recommend upgrading of doors if smoke control cannot be improved adequately.  Nevertheless, strictly, the LGA guide does not cater for this situation.</w:t>
      </w:r>
      <w:bookmarkEnd w:id="5"/>
    </w:p>
    <w:sectPr w:rsidR="00E1708F" w:rsidRPr="00593AA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EEF6" w14:textId="77777777" w:rsidR="007A073A" w:rsidRDefault="007A073A" w:rsidP="00EE23F4">
      <w:pPr>
        <w:spacing w:after="0" w:line="240" w:lineRule="auto"/>
      </w:pPr>
      <w:r>
        <w:separator/>
      </w:r>
    </w:p>
  </w:endnote>
  <w:endnote w:type="continuationSeparator" w:id="0">
    <w:p w14:paraId="34FB8CDE" w14:textId="77777777" w:rsidR="007A073A" w:rsidRDefault="007A073A" w:rsidP="00EE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72276"/>
      <w:docPartObj>
        <w:docPartGallery w:val="Page Numbers (Bottom of Page)"/>
        <w:docPartUnique/>
      </w:docPartObj>
    </w:sdtPr>
    <w:sdtEndPr>
      <w:rPr>
        <w:noProof/>
      </w:rPr>
    </w:sdtEndPr>
    <w:sdtContent>
      <w:p w14:paraId="293EC541" w14:textId="77777777" w:rsidR="009532C7" w:rsidRDefault="009532C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020BAF8" w14:textId="7739035F" w:rsidR="003661BE" w:rsidRDefault="009532C7" w:rsidP="009532C7">
        <w:pPr>
          <w:pStyle w:val="Footer"/>
        </w:pPr>
        <w:r>
          <w:t>Assessment process for legacy Composite Fire Resistant Doorsets v.</w:t>
        </w:r>
        <w:r w:rsidR="0079173D">
          <w:t>2</w:t>
        </w:r>
      </w:p>
    </w:sdtContent>
  </w:sdt>
  <w:p w14:paraId="7D690A7F" w14:textId="772EE094" w:rsidR="0097028F" w:rsidRDefault="00FB64F9" w:rsidP="00AB37F1">
    <w:pPr>
      <w:pStyle w:val="Footer"/>
      <w:rPr>
        <w:sz w:val="20"/>
      </w:rPr>
    </w:pPr>
    <w:r>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3F2C" w14:textId="05D6F5FA" w:rsidR="001C105D" w:rsidRDefault="001C105D">
    <w:pPr>
      <w:pStyle w:val="Footer"/>
    </w:pPr>
    <w:r>
      <w:t>Process chart post MHCLG Advice Note publication v.1</w:t>
    </w:r>
  </w:p>
  <w:p w14:paraId="22A736B0" w14:textId="05A529C3" w:rsidR="0094172E" w:rsidRDefault="0094172E" w:rsidP="0094172E">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4873" w14:textId="77777777" w:rsidR="007A073A" w:rsidRDefault="007A073A" w:rsidP="00EE23F4">
      <w:pPr>
        <w:spacing w:after="0" w:line="240" w:lineRule="auto"/>
      </w:pPr>
      <w:r>
        <w:separator/>
      </w:r>
    </w:p>
  </w:footnote>
  <w:footnote w:type="continuationSeparator" w:id="0">
    <w:p w14:paraId="509CE77B" w14:textId="77777777" w:rsidR="007A073A" w:rsidRDefault="007A073A" w:rsidP="00EE23F4">
      <w:pPr>
        <w:spacing w:after="0" w:line="240" w:lineRule="auto"/>
      </w:pPr>
      <w:r>
        <w:continuationSeparator/>
      </w:r>
    </w:p>
  </w:footnote>
  <w:footnote w:id="1">
    <w:p w14:paraId="4BB9DCA5" w14:textId="77777777" w:rsidR="003A25D8" w:rsidRDefault="003A25D8" w:rsidP="003A25D8">
      <w:pPr>
        <w:pStyle w:val="footnotedescription"/>
        <w:spacing w:after="28"/>
        <w:ind w:left="313" w:right="28" w:hanging="1"/>
      </w:pPr>
      <w:r>
        <w:rPr>
          <w:rStyle w:val="footnotemark"/>
        </w:rPr>
        <w:footnoteRef/>
      </w:r>
      <w:r>
        <w:t xml:space="preserve"> For the purposes of this document the term ‘building owner’ means the owner of the building or the person, group, company or other entity on whom duties are imposed or enforcement action could be taken under the following legislation: (i) the Housing Act 2004 in relation to certain hazards; or (ii)  the Regulatory Reform (Fire Safety) Order 2005 to ensure the safety of occupants of a building from fire (see Articles 3 &amp; 5 of Regulatory Reform (Fire Safety) Order 2005 for those with duties). </w:t>
      </w:r>
      <w:r>
        <w:tab/>
        <w:t xml:space="preserve"> </w:t>
      </w:r>
    </w:p>
    <w:p w14:paraId="3452839A" w14:textId="77777777" w:rsidR="003A25D8" w:rsidRDefault="003A25D8" w:rsidP="003A25D8">
      <w:pPr>
        <w:pStyle w:val="footnotedescription"/>
        <w:spacing w:line="259" w:lineRule="auto"/>
        <w:ind w:left="317" w:right="0"/>
      </w:pPr>
      <w:r>
        <w:t xml:space="preserve"> </w:t>
      </w:r>
    </w:p>
  </w:footnote>
  <w:footnote w:id="2">
    <w:p w14:paraId="02F508F2" w14:textId="77777777" w:rsidR="001C105D" w:rsidRDefault="001C105D">
      <w:pPr>
        <w:pStyle w:val="FootnoteText"/>
      </w:pPr>
      <w:r>
        <w:rPr>
          <w:rStyle w:val="FootnoteReference"/>
        </w:rPr>
        <w:footnoteRef/>
      </w:r>
      <w:r>
        <w:t xml:space="preserve"> Following the MHCLG publication of Advice Note 16 in May 2018, all Composite Fire Resistant Doorsets should have primary test evidence from both sides.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021A" w14:textId="14BAE9D7" w:rsidR="00AB37F1" w:rsidRDefault="00AB37F1" w:rsidP="00AB37F1">
    <w:pPr>
      <w:rPr>
        <w:b/>
        <w:sz w:val="28"/>
        <w:szCs w:val="28"/>
        <w:u w:val="single"/>
      </w:rPr>
    </w:pPr>
    <w:r>
      <w:rPr>
        <w:noProof/>
      </w:rPr>
      <w:drawing>
        <wp:anchor distT="0" distB="0" distL="114300" distR="114300" simplePos="0" relativeHeight="251659776" behindDoc="0" locked="0" layoutInCell="1" allowOverlap="1" wp14:anchorId="489DFA5A" wp14:editId="7CE3DE5E">
          <wp:simplePos x="0" y="0"/>
          <wp:positionH relativeFrom="margin">
            <wp:align>right</wp:align>
          </wp:positionH>
          <wp:positionV relativeFrom="paragraph">
            <wp:posOffset>90805</wp:posOffset>
          </wp:positionV>
          <wp:extent cx="790575" cy="712470"/>
          <wp:effectExtent l="0" t="0" r="9525" b="0"/>
          <wp:wrapNone/>
          <wp:docPr id="1" name="Picture 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m.jpg"/>
                  <pic:cNvPicPr/>
                </pic:nvPicPr>
                <pic:blipFill>
                  <a:blip r:embed="rId1">
                    <a:extLst>
                      <a:ext uri="{28A0092B-C50C-407E-A947-70E740481C1C}">
                        <a14:useLocalDpi xmlns:a14="http://schemas.microsoft.com/office/drawing/2010/main" val="0"/>
                      </a:ext>
                    </a:extLst>
                  </a:blip>
                  <a:stretch>
                    <a:fillRect/>
                  </a:stretch>
                </pic:blipFill>
                <pic:spPr>
                  <a:xfrm>
                    <a:off x="0" y="0"/>
                    <a:ext cx="790575" cy="712470"/>
                  </a:xfrm>
                  <a:prstGeom prst="rect">
                    <a:avLst/>
                  </a:prstGeom>
                </pic:spPr>
              </pic:pic>
            </a:graphicData>
          </a:graphic>
          <wp14:sizeRelH relativeFrom="page">
            <wp14:pctWidth>0</wp14:pctWidth>
          </wp14:sizeRelH>
          <wp14:sizeRelV relativeFrom="page">
            <wp14:pctHeight>0</wp14:pctHeight>
          </wp14:sizeRelV>
        </wp:anchor>
      </w:drawing>
    </w:r>
  </w:p>
  <w:p w14:paraId="008B3044" w14:textId="4C8AF3B8" w:rsidR="00AB37F1" w:rsidRPr="00AB37F1" w:rsidRDefault="00AB37F1" w:rsidP="00AB37F1">
    <w:pPr>
      <w:rPr>
        <w:sz w:val="36"/>
        <w:szCs w:val="36"/>
      </w:rPr>
    </w:pPr>
    <w:r w:rsidRPr="00AB37F1">
      <w:rPr>
        <w:b/>
        <w:sz w:val="36"/>
        <w:szCs w:val="36"/>
        <w:u w:val="single"/>
      </w:rPr>
      <w:t xml:space="preserve"> Composite Fire Resistant Doorset review process</w:t>
    </w:r>
  </w:p>
  <w:p w14:paraId="4FE9DDBB" w14:textId="50745BA1" w:rsidR="0097028F" w:rsidRDefault="0097028F" w:rsidP="009532C7">
    <w:pPr>
      <w:pStyle w:val="Header"/>
      <w:tabs>
        <w:tab w:val="right" w:pos="8910"/>
      </w:tabs>
      <w:jc w:val="right"/>
    </w:pPr>
  </w:p>
  <w:p w14:paraId="59EC3CB4" w14:textId="77777777" w:rsidR="009532C7" w:rsidRDefault="009532C7" w:rsidP="009532C7">
    <w:pPr>
      <w:pStyle w:val="Header"/>
      <w:tabs>
        <w:tab w:val="right" w:pos="891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EF96" w14:textId="566596A4" w:rsidR="0094172E" w:rsidRDefault="0094172E" w:rsidP="0094172E">
    <w:pPr>
      <w:tabs>
        <w:tab w:val="center" w:pos="2160"/>
        <w:tab w:val="center" w:pos="6660"/>
        <w:tab w:val="right" w:leader="dot" w:pos="8100"/>
      </w:tabs>
      <w:spacing w:before="120" w:after="120" w:line="240" w:lineRule="auto"/>
      <w:jc w:val="center"/>
      <w:rPr>
        <w:rFonts w:eastAsia="Times New Roman" w:cstheme="minorHAnsi"/>
        <w:b/>
        <w:sz w:val="28"/>
        <w:szCs w:val="20"/>
        <w:lang w:eastAsia="en-GB"/>
      </w:rPr>
    </w:pPr>
    <w:r>
      <w:rPr>
        <w:noProof/>
      </w:rPr>
      <w:drawing>
        <wp:anchor distT="0" distB="0" distL="114300" distR="114300" simplePos="0" relativeHeight="251658752" behindDoc="1" locked="0" layoutInCell="1" allowOverlap="1" wp14:anchorId="0C53ED8D" wp14:editId="28188B51">
          <wp:simplePos x="0" y="0"/>
          <wp:positionH relativeFrom="column">
            <wp:posOffset>4927600</wp:posOffset>
          </wp:positionH>
          <wp:positionV relativeFrom="paragraph">
            <wp:posOffset>13970</wp:posOffset>
          </wp:positionV>
          <wp:extent cx="845890" cy="762583"/>
          <wp:effectExtent l="0" t="0" r="0" b="0"/>
          <wp:wrapNone/>
          <wp:docPr id="30" name="Picture 30"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cdm.jpg"/>
                  <pic:cNvPicPr/>
                </pic:nvPicPr>
                <pic:blipFill>
                  <a:blip r:embed="rId1">
                    <a:extLst>
                      <a:ext uri="{28A0092B-C50C-407E-A947-70E740481C1C}">
                        <a14:useLocalDpi xmlns:a14="http://schemas.microsoft.com/office/drawing/2010/main" val="0"/>
                      </a:ext>
                    </a:extLst>
                  </a:blip>
                  <a:stretch>
                    <a:fillRect/>
                  </a:stretch>
                </pic:blipFill>
                <pic:spPr>
                  <a:xfrm>
                    <a:off x="0" y="0"/>
                    <a:ext cx="845890" cy="762583"/>
                  </a:xfrm>
                  <a:prstGeom prst="rect">
                    <a:avLst/>
                  </a:prstGeom>
                </pic:spPr>
              </pic:pic>
            </a:graphicData>
          </a:graphic>
          <wp14:sizeRelH relativeFrom="page">
            <wp14:pctWidth>0</wp14:pctWidth>
          </wp14:sizeRelH>
          <wp14:sizeRelV relativeFrom="page">
            <wp14:pctHeight>0</wp14:pctHeight>
          </wp14:sizeRelV>
        </wp:anchor>
      </w:drawing>
    </w:r>
    <w:r w:rsidRPr="00593AA5">
      <w:rPr>
        <w:rFonts w:eastAsia="Times New Roman" w:cstheme="minorHAnsi"/>
        <w:b/>
        <w:sz w:val="28"/>
        <w:szCs w:val="20"/>
        <w:lang w:eastAsia="en-GB"/>
      </w:rPr>
      <w:t>GUIDANCE ON NEED FOR THE UPGRADING OR</w:t>
    </w:r>
  </w:p>
  <w:p w14:paraId="646F23A1" w14:textId="3C311221" w:rsidR="0094172E" w:rsidRPr="00593AA5" w:rsidRDefault="0094172E" w:rsidP="0094172E">
    <w:pPr>
      <w:tabs>
        <w:tab w:val="center" w:pos="2160"/>
        <w:tab w:val="center" w:pos="6660"/>
        <w:tab w:val="right" w:leader="dot" w:pos="8100"/>
      </w:tabs>
      <w:spacing w:before="120" w:after="120" w:line="240" w:lineRule="auto"/>
      <w:jc w:val="center"/>
      <w:rPr>
        <w:rFonts w:eastAsia="Times New Roman" w:cstheme="minorHAnsi"/>
        <w:b/>
        <w:sz w:val="28"/>
        <w:szCs w:val="20"/>
        <w:lang w:eastAsia="en-GB"/>
      </w:rPr>
    </w:pPr>
    <w:r w:rsidRPr="00593AA5">
      <w:rPr>
        <w:rFonts w:eastAsia="Times New Roman" w:cstheme="minorHAnsi"/>
        <w:b/>
        <w:sz w:val="28"/>
        <w:szCs w:val="20"/>
        <w:lang w:eastAsia="en-GB"/>
      </w:rPr>
      <w:t xml:space="preserve"> REPLACEMENT OF FLAT ENTRANCE DOORS</w:t>
    </w:r>
  </w:p>
  <w:p w14:paraId="2F718CAB" w14:textId="4B033DC5" w:rsidR="001C105D" w:rsidRDefault="001C105D" w:rsidP="00EE23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D4F"/>
    <w:multiLevelType w:val="hybridMultilevel"/>
    <w:tmpl w:val="22347A6C"/>
    <w:lvl w:ilvl="0" w:tplc="0F9E8B8C">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FD54619"/>
    <w:multiLevelType w:val="hybridMultilevel"/>
    <w:tmpl w:val="0C8A7B3E"/>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FF257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797632"/>
    <w:multiLevelType w:val="hybridMultilevel"/>
    <w:tmpl w:val="7962176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CAF6925"/>
    <w:multiLevelType w:val="hybridMultilevel"/>
    <w:tmpl w:val="E64C9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C40BF5"/>
    <w:multiLevelType w:val="hybridMultilevel"/>
    <w:tmpl w:val="A9F6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51EB6"/>
    <w:multiLevelType w:val="hybridMultilevel"/>
    <w:tmpl w:val="DEE81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0397823">
    <w:abstractNumId w:val="5"/>
  </w:num>
  <w:num w:numId="2" w16cid:durableId="204293641">
    <w:abstractNumId w:val="3"/>
  </w:num>
  <w:num w:numId="3" w16cid:durableId="831487872">
    <w:abstractNumId w:val="1"/>
  </w:num>
  <w:num w:numId="4" w16cid:durableId="1305693566">
    <w:abstractNumId w:val="4"/>
  </w:num>
  <w:num w:numId="5" w16cid:durableId="1709572593">
    <w:abstractNumId w:val="6"/>
  </w:num>
  <w:num w:numId="6" w16cid:durableId="1083260900">
    <w:abstractNumId w:val="4"/>
  </w:num>
  <w:num w:numId="7" w16cid:durableId="1203903856">
    <w:abstractNumId w:val="6"/>
  </w:num>
  <w:num w:numId="8" w16cid:durableId="249628143">
    <w:abstractNumId w:val="0"/>
  </w:num>
  <w:num w:numId="9" w16cid:durableId="717705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48"/>
    <w:rsid w:val="0005227E"/>
    <w:rsid w:val="000C4D08"/>
    <w:rsid w:val="000D5B40"/>
    <w:rsid w:val="001238AB"/>
    <w:rsid w:val="0014299E"/>
    <w:rsid w:val="0017077A"/>
    <w:rsid w:val="001A57A2"/>
    <w:rsid w:val="001C105D"/>
    <w:rsid w:val="002E4379"/>
    <w:rsid w:val="002F3767"/>
    <w:rsid w:val="00332118"/>
    <w:rsid w:val="003661BE"/>
    <w:rsid w:val="003A25D8"/>
    <w:rsid w:val="003F6DFA"/>
    <w:rsid w:val="00405C9F"/>
    <w:rsid w:val="004A7060"/>
    <w:rsid w:val="00541DAB"/>
    <w:rsid w:val="005760F6"/>
    <w:rsid w:val="00593AA5"/>
    <w:rsid w:val="005A4ED8"/>
    <w:rsid w:val="005B4165"/>
    <w:rsid w:val="005B62A4"/>
    <w:rsid w:val="005E17C0"/>
    <w:rsid w:val="005F7C48"/>
    <w:rsid w:val="006112EC"/>
    <w:rsid w:val="00617877"/>
    <w:rsid w:val="00672EED"/>
    <w:rsid w:val="006C7CDA"/>
    <w:rsid w:val="00757138"/>
    <w:rsid w:val="0079173D"/>
    <w:rsid w:val="007A073A"/>
    <w:rsid w:val="007A4FD9"/>
    <w:rsid w:val="00835BDB"/>
    <w:rsid w:val="00835CAF"/>
    <w:rsid w:val="00895BDA"/>
    <w:rsid w:val="008B00B1"/>
    <w:rsid w:val="00911497"/>
    <w:rsid w:val="0094172E"/>
    <w:rsid w:val="009532C7"/>
    <w:rsid w:val="0097028F"/>
    <w:rsid w:val="00A55E9B"/>
    <w:rsid w:val="00A60F2D"/>
    <w:rsid w:val="00A80416"/>
    <w:rsid w:val="00AB37F1"/>
    <w:rsid w:val="00AC4EE1"/>
    <w:rsid w:val="00B22B79"/>
    <w:rsid w:val="00BB63C1"/>
    <w:rsid w:val="00BE2CB6"/>
    <w:rsid w:val="00BE7734"/>
    <w:rsid w:val="00C07E45"/>
    <w:rsid w:val="00C55503"/>
    <w:rsid w:val="00C777C3"/>
    <w:rsid w:val="00D0216C"/>
    <w:rsid w:val="00D234FF"/>
    <w:rsid w:val="00D62F5B"/>
    <w:rsid w:val="00DD4DC3"/>
    <w:rsid w:val="00E1708F"/>
    <w:rsid w:val="00EB4365"/>
    <w:rsid w:val="00EE1815"/>
    <w:rsid w:val="00EE23F4"/>
    <w:rsid w:val="00EF3522"/>
    <w:rsid w:val="00FA0DAD"/>
    <w:rsid w:val="00FB64F9"/>
    <w:rsid w:val="00FC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4B5077"/>
  <w15:chartTrackingRefBased/>
  <w15:docId w15:val="{2BC9F696-3201-4658-91B3-9C2669D9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299E"/>
    <w:pPr>
      <w:spacing w:after="0" w:line="240" w:lineRule="auto"/>
      <w:ind w:left="737"/>
      <w:jc w:val="both"/>
      <w:outlineLvl w:val="0"/>
    </w:pPr>
    <w:rPr>
      <w:rFonts w:ascii="Arial" w:eastAsia="Times New Roman" w:hAnsi="Arial" w:cs="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3F4"/>
  </w:style>
  <w:style w:type="paragraph" w:styleId="Footer">
    <w:name w:val="footer"/>
    <w:basedOn w:val="Normal"/>
    <w:link w:val="FooterChar"/>
    <w:uiPriority w:val="99"/>
    <w:unhideWhenUsed/>
    <w:rsid w:val="00EE2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3F4"/>
  </w:style>
  <w:style w:type="paragraph" w:styleId="ListParagraph">
    <w:name w:val="List Paragraph"/>
    <w:basedOn w:val="Normal"/>
    <w:link w:val="ListParagraphChar"/>
    <w:uiPriority w:val="34"/>
    <w:qFormat/>
    <w:rsid w:val="00C777C3"/>
    <w:pPr>
      <w:ind w:left="720"/>
      <w:contextualSpacing/>
    </w:pPr>
  </w:style>
  <w:style w:type="paragraph" w:styleId="FootnoteText">
    <w:name w:val="footnote text"/>
    <w:basedOn w:val="Normal"/>
    <w:link w:val="FootnoteTextChar"/>
    <w:uiPriority w:val="99"/>
    <w:semiHidden/>
    <w:unhideWhenUsed/>
    <w:rsid w:val="00142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99E"/>
    <w:rPr>
      <w:sz w:val="20"/>
      <w:szCs w:val="20"/>
    </w:rPr>
  </w:style>
  <w:style w:type="character" w:styleId="FootnoteReference">
    <w:name w:val="footnote reference"/>
    <w:basedOn w:val="DefaultParagraphFont"/>
    <w:uiPriority w:val="99"/>
    <w:semiHidden/>
    <w:unhideWhenUsed/>
    <w:rsid w:val="0014299E"/>
    <w:rPr>
      <w:vertAlign w:val="superscript"/>
    </w:rPr>
  </w:style>
  <w:style w:type="character" w:customStyle="1" w:styleId="Heading1Char">
    <w:name w:val="Heading 1 Char"/>
    <w:basedOn w:val="DefaultParagraphFont"/>
    <w:link w:val="Heading1"/>
    <w:rsid w:val="0014299E"/>
    <w:rPr>
      <w:rFonts w:ascii="Arial" w:eastAsia="Times New Roman" w:hAnsi="Arial" w:cs="Times New Roman"/>
      <w:b/>
      <w:sz w:val="24"/>
      <w:szCs w:val="20"/>
      <w:lang w:eastAsia="x-none"/>
    </w:rPr>
  </w:style>
  <w:style w:type="character" w:customStyle="1" w:styleId="ListParagraphChar">
    <w:name w:val="List Paragraph Char"/>
    <w:basedOn w:val="DefaultParagraphFont"/>
    <w:link w:val="ListParagraph"/>
    <w:uiPriority w:val="34"/>
    <w:locked/>
    <w:rsid w:val="0014299E"/>
  </w:style>
  <w:style w:type="paragraph" w:styleId="BalloonText">
    <w:name w:val="Balloon Text"/>
    <w:basedOn w:val="Normal"/>
    <w:link w:val="BalloonTextChar"/>
    <w:uiPriority w:val="99"/>
    <w:semiHidden/>
    <w:unhideWhenUsed/>
    <w:rsid w:val="001C1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5D"/>
    <w:rPr>
      <w:rFonts w:ascii="Segoe UI" w:hAnsi="Segoe UI" w:cs="Segoe UI"/>
      <w:sz w:val="18"/>
      <w:szCs w:val="18"/>
    </w:rPr>
  </w:style>
  <w:style w:type="paragraph" w:customStyle="1" w:styleId="footnotedescription">
    <w:name w:val="footnote description"/>
    <w:next w:val="Normal"/>
    <w:link w:val="footnotedescriptionChar"/>
    <w:hidden/>
    <w:rsid w:val="003A25D8"/>
    <w:pPr>
      <w:spacing w:after="0" w:line="216" w:lineRule="auto"/>
      <w:ind w:left="312" w:right="64"/>
    </w:pPr>
    <w:rPr>
      <w:rFonts w:ascii="Arial" w:eastAsia="Arial" w:hAnsi="Arial" w:cs="Arial"/>
      <w:color w:val="000000"/>
      <w:sz w:val="20"/>
      <w:lang w:eastAsia="en-GB"/>
    </w:rPr>
  </w:style>
  <w:style w:type="character" w:customStyle="1" w:styleId="footnotedescriptionChar">
    <w:name w:val="footnote description Char"/>
    <w:link w:val="footnotedescription"/>
    <w:rsid w:val="003A25D8"/>
    <w:rPr>
      <w:rFonts w:ascii="Arial" w:eastAsia="Arial" w:hAnsi="Arial" w:cs="Arial"/>
      <w:color w:val="000000"/>
      <w:sz w:val="20"/>
      <w:lang w:eastAsia="en-GB"/>
    </w:rPr>
  </w:style>
  <w:style w:type="character" w:customStyle="1" w:styleId="footnotemark">
    <w:name w:val="footnote mark"/>
    <w:hidden/>
    <w:rsid w:val="003A25D8"/>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stodd.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FA6F-A1DF-4929-ACFA-146F2EF5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Day</dc:creator>
  <cp:keywords/>
  <dc:description/>
  <cp:lastModifiedBy>Russell Day</cp:lastModifiedBy>
  <cp:revision>2</cp:revision>
  <cp:lastPrinted>2020-03-09T16:46:00Z</cp:lastPrinted>
  <dcterms:created xsi:type="dcterms:W3CDTF">2022-06-09T09:17:00Z</dcterms:created>
  <dcterms:modified xsi:type="dcterms:W3CDTF">2022-06-09T09:17:00Z</dcterms:modified>
</cp:coreProperties>
</file>